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7C" w:rsidRDefault="00937C7C" w:rsidP="008C4451">
      <w:pPr>
        <w:pStyle w:val="10"/>
        <w:rPr>
          <w:rFonts w:hint="eastAsia"/>
        </w:rPr>
      </w:pPr>
    </w:p>
    <w:p w:rsidR="008C4451" w:rsidRDefault="008C4451" w:rsidP="008C4451">
      <w:pPr>
        <w:pStyle w:val="10"/>
      </w:pPr>
    </w:p>
    <w:p w:rsidR="008C4451" w:rsidRDefault="008C4451" w:rsidP="008C4451">
      <w:pPr>
        <w:pStyle w:val="10"/>
      </w:pPr>
    </w:p>
    <w:p w:rsidR="003B5821" w:rsidRPr="003B5821" w:rsidRDefault="003B5821" w:rsidP="003B5821"/>
    <w:p w:rsidR="00937C7C" w:rsidRPr="008C4451" w:rsidRDefault="008C4451" w:rsidP="003B5821">
      <w:pPr>
        <w:pStyle w:val="10"/>
        <w:jc w:val="center"/>
      </w:pPr>
      <w:r w:rsidRPr="008C4451">
        <w:rPr>
          <w:rFonts w:hint="eastAsia"/>
        </w:rPr>
        <w:t>第一部分  文本</w:t>
      </w:r>
    </w:p>
    <w:p w:rsidR="00937C7C" w:rsidRPr="003B5821" w:rsidRDefault="008C4451" w:rsidP="003B5821">
      <w:pPr>
        <w:pStyle w:val="1"/>
        <w:spacing w:before="0" w:line="240" w:lineRule="auto"/>
        <w:ind w:firstLineChars="2050" w:firstLine="6150"/>
        <w:rPr>
          <w:b w:val="0"/>
        </w:rPr>
      </w:pPr>
      <w:r w:rsidRPr="003B5821">
        <w:rPr>
          <w:rFonts w:hint="eastAsia"/>
          <w:b w:val="0"/>
        </w:rPr>
        <w:t>第一章</w:t>
      </w:r>
      <w:r w:rsidRPr="003B5821">
        <w:rPr>
          <w:rFonts w:hint="eastAsia"/>
          <w:b w:val="0"/>
        </w:rPr>
        <w:t xml:space="preserve">  </w:t>
      </w:r>
      <w:r w:rsidR="003B5821">
        <w:rPr>
          <w:b w:val="0"/>
        </w:rPr>
        <w:t xml:space="preserve">  </w:t>
      </w:r>
      <w:r w:rsidRPr="003B5821">
        <w:rPr>
          <w:rFonts w:hint="eastAsia"/>
          <w:b w:val="0"/>
        </w:rPr>
        <w:t>总则</w:t>
      </w:r>
    </w:p>
    <w:p w:rsidR="008C4451" w:rsidRPr="003B5821" w:rsidRDefault="003B5821" w:rsidP="003B5821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>
        <w:rPr>
          <w:b w:val="0"/>
        </w:rPr>
        <w:t xml:space="preserve">                                  </w:t>
      </w:r>
      <w:r w:rsidR="008C4451" w:rsidRPr="003B5821">
        <w:rPr>
          <w:rFonts w:hint="eastAsia"/>
          <w:b w:val="0"/>
        </w:rPr>
        <w:t>第二章</w:t>
      </w:r>
      <w:r w:rsidR="008C4451" w:rsidRPr="003B5821">
        <w:rPr>
          <w:rFonts w:hint="eastAsia"/>
          <w:b w:val="0"/>
        </w:rPr>
        <w:t xml:space="preserve"> </w:t>
      </w:r>
      <w:r>
        <w:rPr>
          <w:b w:val="0"/>
        </w:rPr>
        <w:t xml:space="preserve">   </w:t>
      </w:r>
      <w:r w:rsidR="008C4451" w:rsidRPr="003B5821">
        <w:rPr>
          <w:rFonts w:hint="eastAsia"/>
          <w:b w:val="0"/>
        </w:rPr>
        <w:t>土地</w:t>
      </w:r>
      <w:r w:rsidR="008C4451" w:rsidRPr="003B5821">
        <w:rPr>
          <w:b w:val="0"/>
        </w:rPr>
        <w:t>使用控制</w:t>
      </w:r>
    </w:p>
    <w:p w:rsidR="008C4451" w:rsidRPr="003B5821" w:rsidRDefault="003B5821" w:rsidP="003B5821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 w:rsidRPr="003B5821">
        <w:rPr>
          <w:rFonts w:hint="eastAsia"/>
          <w:b w:val="0"/>
        </w:rPr>
        <w:t xml:space="preserve">     </w:t>
      </w:r>
      <w:r>
        <w:rPr>
          <w:b w:val="0"/>
        </w:rPr>
        <w:t xml:space="preserve">                            </w:t>
      </w:r>
      <w:r w:rsidRPr="003B5821">
        <w:rPr>
          <w:rFonts w:hint="eastAsia"/>
          <w:b w:val="0"/>
        </w:rPr>
        <w:t xml:space="preserve"> </w:t>
      </w:r>
      <w:r w:rsidR="008C4451" w:rsidRPr="003B5821">
        <w:rPr>
          <w:rFonts w:hint="eastAsia"/>
          <w:b w:val="0"/>
        </w:rPr>
        <w:t>第三</w:t>
      </w:r>
      <w:r w:rsidR="008C4451" w:rsidRPr="003B5821">
        <w:rPr>
          <w:b w:val="0"/>
        </w:rPr>
        <w:t>章</w:t>
      </w:r>
      <w:r w:rsidR="008C4451" w:rsidRPr="003B5821">
        <w:rPr>
          <w:rFonts w:hint="eastAsia"/>
          <w:b w:val="0"/>
        </w:rPr>
        <w:t xml:space="preserve">  </w:t>
      </w:r>
      <w:r>
        <w:rPr>
          <w:b w:val="0"/>
        </w:rPr>
        <w:t xml:space="preserve">  </w:t>
      </w:r>
      <w:r w:rsidR="008C4451" w:rsidRPr="003B5821">
        <w:rPr>
          <w:rFonts w:hint="eastAsia"/>
          <w:b w:val="0"/>
        </w:rPr>
        <w:t>规划</w:t>
      </w:r>
      <w:r w:rsidR="008C4451" w:rsidRPr="003B5821">
        <w:rPr>
          <w:b w:val="0"/>
        </w:rPr>
        <w:t>控制指标与要求</w:t>
      </w:r>
    </w:p>
    <w:p w:rsidR="008C4451" w:rsidRPr="003B5821" w:rsidRDefault="003B5821" w:rsidP="003B5821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 w:rsidRPr="003B5821">
        <w:rPr>
          <w:rFonts w:hint="eastAsia"/>
          <w:b w:val="0"/>
        </w:rPr>
        <w:t xml:space="preserve">    </w:t>
      </w:r>
      <w:r>
        <w:rPr>
          <w:b w:val="0"/>
        </w:rPr>
        <w:t xml:space="preserve">                              </w:t>
      </w:r>
      <w:r w:rsidR="008C4451" w:rsidRPr="003B5821">
        <w:rPr>
          <w:rFonts w:hint="eastAsia"/>
          <w:b w:val="0"/>
        </w:rPr>
        <w:t>第四章</w:t>
      </w:r>
      <w:r w:rsidR="008C4451" w:rsidRPr="003B5821">
        <w:rPr>
          <w:rFonts w:hint="eastAsia"/>
          <w:b w:val="0"/>
        </w:rPr>
        <w:t xml:space="preserve">  </w:t>
      </w:r>
      <w:r>
        <w:rPr>
          <w:b w:val="0"/>
        </w:rPr>
        <w:t xml:space="preserve">  </w:t>
      </w:r>
      <w:r w:rsidR="008C4451" w:rsidRPr="003B5821">
        <w:rPr>
          <w:rFonts w:hint="eastAsia"/>
          <w:b w:val="0"/>
        </w:rPr>
        <w:t>市政</w:t>
      </w:r>
      <w:r w:rsidR="008C4451" w:rsidRPr="003B5821">
        <w:rPr>
          <w:b w:val="0"/>
        </w:rPr>
        <w:t>工程设施规划</w:t>
      </w:r>
    </w:p>
    <w:p w:rsidR="00937C7C" w:rsidRDefault="008838D3" w:rsidP="008838D3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 w:rsidRPr="008838D3">
        <w:rPr>
          <w:rFonts w:hint="eastAsia"/>
          <w:b w:val="0"/>
        </w:rPr>
        <w:t xml:space="preserve">         </w:t>
      </w:r>
      <w:r>
        <w:rPr>
          <w:rFonts w:hint="eastAsia"/>
          <w:b w:val="0"/>
        </w:rPr>
        <w:t xml:space="preserve">                         </w:t>
      </w:r>
      <w:r w:rsidRPr="008838D3">
        <w:rPr>
          <w:rFonts w:hint="eastAsia"/>
          <w:b w:val="0"/>
        </w:rPr>
        <w:t>第五</w:t>
      </w:r>
      <w:r w:rsidRPr="008838D3">
        <w:rPr>
          <w:b w:val="0"/>
        </w:rPr>
        <w:t>章</w:t>
      </w:r>
      <w:r w:rsidRPr="008838D3">
        <w:rPr>
          <w:rFonts w:hint="eastAsia"/>
          <w:b w:val="0"/>
        </w:rPr>
        <w:t xml:space="preserve">    </w:t>
      </w:r>
      <w:r w:rsidRPr="008838D3">
        <w:rPr>
          <w:rFonts w:hint="eastAsia"/>
          <w:b w:val="0"/>
        </w:rPr>
        <w:t>附则</w:t>
      </w:r>
    </w:p>
    <w:p w:rsidR="008838D3" w:rsidRPr="008838D3" w:rsidRDefault="008838D3" w:rsidP="008838D3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 w:rsidRPr="008838D3">
        <w:rPr>
          <w:rFonts w:hint="eastAsia"/>
          <w:b w:val="0"/>
        </w:rPr>
        <w:t xml:space="preserve">   </w:t>
      </w:r>
      <w:r>
        <w:rPr>
          <w:rFonts w:hint="eastAsia"/>
          <w:b w:val="0"/>
        </w:rPr>
        <w:t xml:space="preserve">                               </w:t>
      </w:r>
      <w:r w:rsidRPr="008838D3">
        <w:rPr>
          <w:rFonts w:hint="eastAsia"/>
          <w:b w:val="0"/>
        </w:rPr>
        <w:t>附</w:t>
      </w:r>
      <w:r w:rsidR="00C56AF4">
        <w:rPr>
          <w:rFonts w:hint="eastAsia"/>
          <w:b w:val="0"/>
        </w:rPr>
        <w:t xml:space="preserve">  </w:t>
      </w:r>
      <w:r w:rsidRPr="008838D3">
        <w:rPr>
          <w:rFonts w:hint="eastAsia"/>
          <w:b w:val="0"/>
        </w:rPr>
        <w:t>录</w:t>
      </w:r>
    </w:p>
    <w:p w:rsidR="008838D3" w:rsidRPr="008838D3" w:rsidRDefault="008838D3" w:rsidP="008838D3">
      <w:pPr>
        <w:sectPr w:rsidR="008838D3" w:rsidRPr="008838D3" w:rsidSect="008D6D36">
          <w:headerReference w:type="default" r:id="rId8"/>
          <w:footerReference w:type="default" r:id="rId9"/>
          <w:pgSz w:w="23814" w:h="16839" w:orient="landscape" w:code="8"/>
          <w:pgMar w:top="1797" w:right="1440" w:bottom="1797" w:left="8732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</w:t>
      </w:r>
    </w:p>
    <w:p w:rsidR="00C05827" w:rsidRDefault="00C05827" w:rsidP="00CA0AC9">
      <w:pPr>
        <w:pStyle w:val="1"/>
      </w:pPr>
      <w:bookmarkStart w:id="0" w:name="_Toc17383019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 </w:t>
      </w:r>
      <w:r>
        <w:t>总则</w:t>
      </w:r>
      <w:bookmarkEnd w:id="0"/>
    </w:p>
    <w:p w:rsidR="00B1011A" w:rsidRDefault="00C05827" w:rsidP="00CA0AC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为合理开发建设安溪</w:t>
      </w:r>
      <w:r>
        <w:t>芦田镇福岭村</w:t>
      </w:r>
      <w:r w:rsidR="00A523A7">
        <w:rPr>
          <w:rFonts w:hint="eastAsia"/>
        </w:rPr>
        <w:t>A1</w:t>
      </w:r>
      <w:r>
        <w:rPr>
          <w:rFonts w:hint="eastAsia"/>
        </w:rPr>
        <w:t>地块特制定本控制性详细规划（以下简称控规）。</w:t>
      </w:r>
    </w:p>
    <w:p w:rsidR="00C05827" w:rsidRDefault="00C05827" w:rsidP="00CA0AC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制定本控规的主要依据是：</w:t>
      </w:r>
    </w:p>
    <w:p w:rsidR="00C05827" w:rsidRDefault="00C05827" w:rsidP="00CA0AC9">
      <w:r>
        <w:t>1</w:t>
      </w:r>
      <w:r>
        <w:rPr>
          <w:rFonts w:hint="eastAsia"/>
        </w:rPr>
        <w:t>、《中华人民共和国城乡规划法（</w:t>
      </w:r>
      <w:r>
        <w:t>2019</w:t>
      </w:r>
      <w:r>
        <w:rPr>
          <w:rFonts w:hint="eastAsia"/>
        </w:rPr>
        <w:t>修正）》；</w:t>
      </w:r>
    </w:p>
    <w:p w:rsidR="00C05827" w:rsidRDefault="00C05827" w:rsidP="00CA0AC9">
      <w:r>
        <w:rPr>
          <w:rFonts w:hint="eastAsia"/>
        </w:rPr>
        <w:t>2</w:t>
      </w:r>
      <w:r>
        <w:rPr>
          <w:rFonts w:hint="eastAsia"/>
        </w:rPr>
        <w:t>、《福建省城市规划管理技术规定》；</w:t>
      </w:r>
    </w:p>
    <w:p w:rsidR="00C05827" w:rsidRDefault="00C05827" w:rsidP="00CA0AC9">
      <w:r>
        <w:t>3</w:t>
      </w:r>
      <w:r>
        <w:rPr>
          <w:rFonts w:hint="eastAsia"/>
        </w:rPr>
        <w:t>、《福建省城市控制性详细规划编制导则（试行）》；</w:t>
      </w:r>
    </w:p>
    <w:p w:rsidR="00C05827" w:rsidRDefault="00C05827" w:rsidP="00CA0AC9">
      <w:r>
        <w:rPr>
          <w:rFonts w:hint="eastAsia"/>
        </w:rPr>
        <w:t>4</w:t>
      </w:r>
      <w:r>
        <w:rPr>
          <w:rFonts w:hint="eastAsia"/>
        </w:rPr>
        <w:t>、《中华人民共和国国家标准城市用地分类与规划建设用地标准</w:t>
      </w:r>
      <w:r>
        <w:t>GB 50137–2011</w:t>
      </w:r>
      <w:r>
        <w:rPr>
          <w:rFonts w:hint="eastAsia"/>
        </w:rPr>
        <w:t>》</w:t>
      </w:r>
      <w:r w:rsidR="00D00F55">
        <w:rPr>
          <w:rFonts w:hint="eastAsia"/>
        </w:rPr>
        <w:t>。</w:t>
      </w:r>
    </w:p>
    <w:p w:rsidR="00C05827" w:rsidRDefault="00C05827" w:rsidP="00D00F5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本控规适用于安溪县</w:t>
      </w:r>
      <w:r>
        <w:t>芦田镇福岭村</w:t>
      </w:r>
      <w:r w:rsidR="00A523A7">
        <w:rPr>
          <w:rFonts w:hint="eastAsia"/>
        </w:rPr>
        <w:t>A1</w:t>
      </w:r>
      <w:r>
        <w:rPr>
          <w:rFonts w:hint="eastAsia"/>
        </w:rPr>
        <w:t>地块各项建设活动的规划管理工作，并作为项目设计的依据。</w:t>
      </w:r>
    </w:p>
    <w:p w:rsidR="00C05827" w:rsidRDefault="00C05827" w:rsidP="00D00F5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本控规未提及的指标，应符合国家、省、市的有关技术规范规定。</w:t>
      </w:r>
    </w:p>
    <w:p w:rsidR="00C05827" w:rsidRDefault="00C05827" w:rsidP="00D00F5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本控规由规划文本和规划图纸两部分组成。规划文本和规划图纸具有同等的法律效力，两者应同时使用，不可分割。</w:t>
      </w:r>
    </w:p>
    <w:p w:rsidR="00C05827" w:rsidRDefault="00C05827" w:rsidP="00D00F5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本控规经安溪县人民政府批准后实施，有关单位和个人必须遵照规划严格执行。</w:t>
      </w:r>
    </w:p>
    <w:p w:rsidR="008C7F2B" w:rsidRPr="00C05827" w:rsidRDefault="00C05827" w:rsidP="00D00F55">
      <w:pPr>
        <w:pStyle w:val="a3"/>
        <w:numPr>
          <w:ilvl w:val="0"/>
          <w:numId w:val="3"/>
        </w:numPr>
        <w:ind w:firstLineChars="0"/>
        <w:rPr>
          <w:sz w:val="21"/>
        </w:rPr>
      </w:pPr>
      <w:r w:rsidRPr="00C05827">
        <w:rPr>
          <w:rFonts w:hint="eastAsia"/>
        </w:rPr>
        <w:t>本控规的解释权以及规划实施过程中对各种问题的协调处理，由安溪县自然资源局负责。</w:t>
      </w:r>
    </w:p>
    <w:p w:rsidR="00C05827" w:rsidRDefault="00C05827" w:rsidP="00CA0AC9">
      <w:pPr>
        <w:pStyle w:val="1"/>
      </w:pPr>
      <w:bookmarkStart w:id="1" w:name="_Toc17383020"/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 w:rsidR="00153CF0">
        <w:rPr>
          <w:rFonts w:hint="eastAsia"/>
        </w:rPr>
        <w:t>土地</w:t>
      </w:r>
      <w:r w:rsidR="00B7071D">
        <w:t>使用</w:t>
      </w:r>
      <w:r w:rsidR="00153CF0">
        <w:t>控制</w:t>
      </w:r>
      <w:bookmarkEnd w:id="1"/>
    </w:p>
    <w:p w:rsidR="00C05827" w:rsidRPr="00D00F55" w:rsidRDefault="00153CF0" w:rsidP="00D00F5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</w:t>
      </w:r>
      <w:r>
        <w:t>地块</w:t>
      </w:r>
      <w:r>
        <w:rPr>
          <w:rFonts w:hint="eastAsia"/>
        </w:rPr>
        <w:t>土地</w:t>
      </w:r>
      <w:r>
        <w:t>使用性质分类和代码采用</w:t>
      </w:r>
      <w:r w:rsidR="00C05827" w:rsidRPr="00D00F55">
        <w:rPr>
          <w:rFonts w:hint="eastAsia"/>
        </w:rPr>
        <w:t>《城市用地分类与规划建设用地标准》（</w:t>
      </w:r>
      <w:r w:rsidR="00C05827" w:rsidRPr="00D00F55">
        <w:t>GB50137</w:t>
      </w:r>
      <w:r w:rsidR="00C05827" w:rsidRPr="00D00F55">
        <w:rPr>
          <w:rFonts w:hint="eastAsia"/>
        </w:rPr>
        <w:t>－</w:t>
      </w:r>
      <w:r w:rsidR="00C05827" w:rsidRPr="00D00F55">
        <w:t>2011</w:t>
      </w:r>
      <w:r>
        <w:rPr>
          <w:rFonts w:hint="eastAsia"/>
        </w:rPr>
        <w:t>）</w:t>
      </w:r>
      <w:r w:rsidR="00C05827" w:rsidRPr="00D00F55">
        <w:rPr>
          <w:rFonts w:hint="eastAsia"/>
        </w:rPr>
        <w:t>规定</w:t>
      </w:r>
      <w:r>
        <w:rPr>
          <w:rFonts w:hint="eastAsia"/>
        </w:rPr>
        <w:t>的</w:t>
      </w:r>
      <w:r>
        <w:t>城市用地</w:t>
      </w:r>
      <w:r w:rsidR="00C05827" w:rsidRPr="00D00F55">
        <w:rPr>
          <w:rFonts w:hint="eastAsia"/>
        </w:rPr>
        <w:t>分类</w:t>
      </w:r>
      <w:r>
        <w:rPr>
          <w:rFonts w:hint="eastAsia"/>
        </w:rPr>
        <w:t>代码</w:t>
      </w:r>
      <w:r>
        <w:t>，划分至中类</w:t>
      </w:r>
      <w:r w:rsidR="00C05827" w:rsidRPr="00D00F55">
        <w:rPr>
          <w:rFonts w:hint="eastAsia"/>
        </w:rPr>
        <w:t>。</w:t>
      </w:r>
    </w:p>
    <w:p w:rsidR="00C05827" w:rsidRPr="00DB1E18" w:rsidRDefault="00C05827" w:rsidP="00D00F55">
      <w:pPr>
        <w:pStyle w:val="a3"/>
        <w:numPr>
          <w:ilvl w:val="0"/>
          <w:numId w:val="3"/>
        </w:numPr>
        <w:ind w:firstLineChars="0"/>
        <w:rPr>
          <w:b/>
        </w:rPr>
      </w:pPr>
      <w:r w:rsidRPr="00DB1E18">
        <w:rPr>
          <w:rFonts w:hint="eastAsia"/>
          <w:b/>
        </w:rPr>
        <w:t>本地块</w:t>
      </w:r>
      <w:r w:rsidR="00153CF0" w:rsidRPr="00DB1E18">
        <w:rPr>
          <w:rFonts w:hint="eastAsia"/>
          <w:b/>
        </w:rPr>
        <w:t>土地</w:t>
      </w:r>
      <w:r w:rsidR="00153CF0" w:rsidRPr="00DB1E18">
        <w:rPr>
          <w:b/>
        </w:rPr>
        <w:t>使用</w:t>
      </w:r>
      <w:r w:rsidRPr="00DB1E18">
        <w:rPr>
          <w:rFonts w:hint="eastAsia"/>
          <w:b/>
        </w:rPr>
        <w:t>性质为商业用地（</w:t>
      </w:r>
      <w:r w:rsidRPr="00DB1E18">
        <w:rPr>
          <w:b/>
        </w:rPr>
        <w:t>B1</w:t>
      </w:r>
      <w:r w:rsidRPr="00DB1E18">
        <w:rPr>
          <w:rFonts w:hint="eastAsia"/>
          <w:b/>
        </w:rPr>
        <w:t>）。</w:t>
      </w:r>
    </w:p>
    <w:p w:rsidR="00153CF0" w:rsidRPr="00D00F55" w:rsidRDefault="00153CF0" w:rsidP="00D00F55">
      <w:pPr>
        <w:pStyle w:val="a3"/>
        <w:numPr>
          <w:ilvl w:val="0"/>
          <w:numId w:val="3"/>
        </w:numPr>
        <w:ind w:firstLineChars="0"/>
      </w:pPr>
      <w:r w:rsidRPr="00532679">
        <w:rPr>
          <w:rFonts w:hint="eastAsia"/>
          <w:szCs w:val="24"/>
        </w:rPr>
        <w:t>建设项目的改建、扩建和新建，其使用性质应同所在地块的土地使用性质相符，或满足建设用地适建范围的要求。</w:t>
      </w:r>
    </w:p>
    <w:p w:rsidR="00C05827" w:rsidRDefault="00C05827" w:rsidP="00CA0AC9">
      <w:pPr>
        <w:pStyle w:val="1"/>
      </w:pPr>
      <w:bookmarkStart w:id="2" w:name="_Toc17383021"/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规划</w:t>
      </w:r>
      <w:r w:rsidR="005C2C81">
        <w:t>控制指标</w:t>
      </w:r>
      <w:r w:rsidR="008D6D36">
        <w:rPr>
          <w:rFonts w:hint="eastAsia"/>
        </w:rPr>
        <w:t>与</w:t>
      </w:r>
      <w:r w:rsidR="00BD138B">
        <w:rPr>
          <w:rFonts w:hint="eastAsia"/>
        </w:rPr>
        <w:t>要求</w:t>
      </w:r>
      <w:bookmarkEnd w:id="2"/>
    </w:p>
    <w:p w:rsidR="005C2C81" w:rsidRPr="00DB1E18" w:rsidRDefault="005C2C81" w:rsidP="00D00F55">
      <w:pPr>
        <w:pStyle w:val="a3"/>
        <w:numPr>
          <w:ilvl w:val="0"/>
          <w:numId w:val="3"/>
        </w:numPr>
        <w:ind w:firstLineChars="0"/>
        <w:rPr>
          <w:b/>
        </w:rPr>
      </w:pPr>
      <w:r w:rsidRPr="00DB1E18">
        <w:rPr>
          <w:rFonts w:hint="eastAsia"/>
          <w:b/>
        </w:rPr>
        <w:t>地块用地性质、容积率、建筑密度、绿地率、建筑限高等指标的控制应符合下表的规定。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1985"/>
        <w:gridCol w:w="1842"/>
        <w:gridCol w:w="1010"/>
        <w:gridCol w:w="1258"/>
        <w:gridCol w:w="1134"/>
        <w:gridCol w:w="1276"/>
        <w:gridCol w:w="1701"/>
        <w:gridCol w:w="1588"/>
      </w:tblGrid>
      <w:tr w:rsidR="008D6D36" w:rsidRPr="00DB1E18" w:rsidTr="00E20F01">
        <w:tc>
          <w:tcPr>
            <w:tcW w:w="1418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地块编码</w:t>
            </w:r>
          </w:p>
        </w:tc>
        <w:tc>
          <w:tcPr>
            <w:tcW w:w="1985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用地</w:t>
            </w:r>
            <w:r w:rsidRPr="00DB1E18">
              <w:rPr>
                <w:b/>
              </w:rPr>
              <w:t>性质（</w:t>
            </w:r>
            <w:r w:rsidRPr="00DB1E18">
              <w:rPr>
                <w:rFonts w:hint="eastAsia"/>
                <w:b/>
              </w:rPr>
              <w:t>代码</w:t>
            </w:r>
            <w:r w:rsidRPr="00DB1E18">
              <w:rPr>
                <w:b/>
              </w:rPr>
              <w:t>）</w:t>
            </w:r>
          </w:p>
        </w:tc>
        <w:tc>
          <w:tcPr>
            <w:tcW w:w="1842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用地</w:t>
            </w:r>
            <w:r w:rsidR="00674CD5" w:rsidRPr="00DB1E18">
              <w:rPr>
                <w:rFonts w:hint="eastAsia"/>
                <w:b/>
              </w:rPr>
              <w:t>面积</w:t>
            </w:r>
            <w:r w:rsidRPr="00DB1E18">
              <w:rPr>
                <w:b/>
              </w:rPr>
              <w:t>（</w:t>
            </w:r>
            <w:r w:rsidRPr="00DB1E18">
              <w:rPr>
                <w:rFonts w:hint="eastAsia"/>
                <w:b/>
              </w:rPr>
              <w:t>㎡</w:t>
            </w:r>
            <w:r w:rsidRPr="00DB1E18">
              <w:rPr>
                <w:b/>
              </w:rPr>
              <w:t>）</w:t>
            </w:r>
          </w:p>
        </w:tc>
        <w:tc>
          <w:tcPr>
            <w:tcW w:w="1010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容积率</w:t>
            </w:r>
          </w:p>
        </w:tc>
        <w:tc>
          <w:tcPr>
            <w:tcW w:w="1258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建筑</w:t>
            </w:r>
            <w:r w:rsidRPr="00DB1E18">
              <w:rPr>
                <w:b/>
              </w:rPr>
              <w:t>密度</w:t>
            </w:r>
          </w:p>
        </w:tc>
        <w:tc>
          <w:tcPr>
            <w:tcW w:w="1134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绿地率</w:t>
            </w:r>
          </w:p>
        </w:tc>
        <w:tc>
          <w:tcPr>
            <w:tcW w:w="1276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建筑</w:t>
            </w:r>
            <w:r w:rsidRPr="00DB1E18">
              <w:rPr>
                <w:b/>
              </w:rPr>
              <w:t>限高</w:t>
            </w:r>
          </w:p>
        </w:tc>
        <w:tc>
          <w:tcPr>
            <w:tcW w:w="1701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机动车</w:t>
            </w:r>
            <w:r w:rsidRPr="00DB1E18">
              <w:rPr>
                <w:b/>
              </w:rPr>
              <w:t>出入口</w:t>
            </w:r>
          </w:p>
        </w:tc>
        <w:tc>
          <w:tcPr>
            <w:tcW w:w="1588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配套</w:t>
            </w:r>
            <w:r w:rsidRPr="00DB1E18">
              <w:rPr>
                <w:b/>
              </w:rPr>
              <w:t>停车</w:t>
            </w:r>
          </w:p>
        </w:tc>
      </w:tr>
      <w:tr w:rsidR="00674CD5" w:rsidRPr="00DB1E18" w:rsidTr="00E20F01">
        <w:tc>
          <w:tcPr>
            <w:tcW w:w="1418" w:type="dxa"/>
          </w:tcPr>
          <w:p w:rsidR="005C2C81" w:rsidRPr="00DB1E18" w:rsidRDefault="00A523A7" w:rsidP="00B7071D">
            <w:pPr>
              <w:rPr>
                <w:b/>
              </w:rPr>
            </w:pPr>
            <w:r>
              <w:rPr>
                <w:rFonts w:hint="eastAsia"/>
                <w:b/>
              </w:rPr>
              <w:t>A1</w:t>
            </w:r>
          </w:p>
        </w:tc>
        <w:tc>
          <w:tcPr>
            <w:tcW w:w="1985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商业</w:t>
            </w:r>
            <w:r w:rsidRPr="00DB1E18">
              <w:rPr>
                <w:b/>
              </w:rPr>
              <w:t>用地（</w:t>
            </w:r>
            <w:r w:rsidRPr="00DB1E18">
              <w:rPr>
                <w:rFonts w:hint="eastAsia"/>
                <w:b/>
              </w:rPr>
              <w:t>B1</w:t>
            </w:r>
            <w:r w:rsidRPr="00DB1E18">
              <w:rPr>
                <w:b/>
              </w:rPr>
              <w:t>）</w:t>
            </w:r>
          </w:p>
        </w:tc>
        <w:tc>
          <w:tcPr>
            <w:tcW w:w="1842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19044.83</w:t>
            </w:r>
          </w:p>
        </w:tc>
        <w:tc>
          <w:tcPr>
            <w:tcW w:w="1010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1.2</w:t>
            </w:r>
          </w:p>
        </w:tc>
        <w:tc>
          <w:tcPr>
            <w:tcW w:w="1258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30</w:t>
            </w:r>
          </w:p>
        </w:tc>
        <w:tc>
          <w:tcPr>
            <w:tcW w:w="1134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30</w:t>
            </w:r>
          </w:p>
        </w:tc>
        <w:tc>
          <w:tcPr>
            <w:tcW w:w="1276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24</w:t>
            </w:r>
          </w:p>
        </w:tc>
        <w:tc>
          <w:tcPr>
            <w:tcW w:w="1701" w:type="dxa"/>
          </w:tcPr>
          <w:p w:rsidR="005C2C81" w:rsidRPr="00DB1E18" w:rsidRDefault="005C2C81" w:rsidP="00B7071D">
            <w:pPr>
              <w:rPr>
                <w:b/>
              </w:rPr>
            </w:pPr>
            <w:r w:rsidRPr="00DB1E18">
              <w:rPr>
                <w:rFonts w:hint="eastAsia"/>
                <w:b/>
              </w:rPr>
              <w:t>南</w:t>
            </w:r>
          </w:p>
        </w:tc>
        <w:tc>
          <w:tcPr>
            <w:tcW w:w="1588" w:type="dxa"/>
          </w:tcPr>
          <w:p w:rsidR="005C2C81" w:rsidRPr="00DB1E18" w:rsidRDefault="00314893" w:rsidP="00B7071D">
            <w:pPr>
              <w:rPr>
                <w:b/>
              </w:rPr>
            </w:pPr>
            <w:r>
              <w:rPr>
                <w:rFonts w:hint="eastAsia"/>
                <w:b/>
              </w:rPr>
              <w:t>0.3</w:t>
            </w:r>
            <w:bookmarkStart w:id="3" w:name="_GoBack"/>
            <w:bookmarkEnd w:id="3"/>
            <w:r w:rsidR="005C2C81" w:rsidRPr="00DB1E18">
              <w:rPr>
                <w:rFonts w:hint="eastAsia"/>
                <w:b/>
              </w:rPr>
              <w:t>个</w:t>
            </w:r>
            <w:r w:rsidR="005C2C81" w:rsidRPr="00DB1E18">
              <w:rPr>
                <w:b/>
              </w:rPr>
              <w:t>/100</w:t>
            </w:r>
            <w:r w:rsidR="005C2C81" w:rsidRPr="00DB1E18">
              <w:rPr>
                <w:rFonts w:hint="eastAsia"/>
                <w:b/>
              </w:rPr>
              <w:t>㎡</w:t>
            </w:r>
          </w:p>
        </w:tc>
      </w:tr>
    </w:tbl>
    <w:p w:rsidR="00C05827" w:rsidRDefault="00BD138B" w:rsidP="006817FA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6817FA">
        <w:rPr>
          <w:rFonts w:hint="eastAsia"/>
          <w:szCs w:val="24"/>
        </w:rPr>
        <w:t>绿地率为下限指标，建筑密度、容积率和建筑高度为上限指标</w:t>
      </w:r>
      <w:r w:rsidR="00B7071D" w:rsidRPr="006817FA">
        <w:rPr>
          <w:rFonts w:hint="eastAsia"/>
          <w:szCs w:val="24"/>
        </w:rPr>
        <w:t>。</w:t>
      </w:r>
    </w:p>
    <w:p w:rsidR="006817FA" w:rsidRPr="006817FA" w:rsidRDefault="00656B8C" w:rsidP="00656B8C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656B8C">
        <w:rPr>
          <w:rFonts w:hint="eastAsia"/>
          <w:szCs w:val="24"/>
        </w:rPr>
        <w:t>地块内的建筑间距、建筑退让用地红线除应符合消防、抗震安全、采光、通风、环保、视觉卫生和工程管线敷设等方面的要求外，</w:t>
      </w:r>
      <w:r w:rsidR="00941284" w:rsidRPr="006817FA">
        <w:rPr>
          <w:rFonts w:hint="eastAsia"/>
          <w:szCs w:val="24"/>
        </w:rPr>
        <w:t>同时</w:t>
      </w:r>
      <w:r w:rsidR="006817FA" w:rsidRPr="006817FA">
        <w:rPr>
          <w:rFonts w:hint="eastAsia"/>
          <w:szCs w:val="24"/>
        </w:rPr>
        <w:t>应符合</w:t>
      </w:r>
      <w:r w:rsidR="006817FA">
        <w:rPr>
          <w:rFonts w:hint="eastAsia"/>
          <w:szCs w:val="24"/>
        </w:rPr>
        <w:t>省</w:t>
      </w:r>
      <w:r w:rsidR="006817FA">
        <w:rPr>
          <w:szCs w:val="24"/>
        </w:rPr>
        <w:t>、市</w:t>
      </w:r>
      <w:r w:rsidR="006817FA" w:rsidRPr="006817FA">
        <w:rPr>
          <w:rFonts w:hint="eastAsia"/>
          <w:szCs w:val="24"/>
        </w:rPr>
        <w:t>城市规划管理有关规定。</w:t>
      </w:r>
    </w:p>
    <w:p w:rsidR="006817FA" w:rsidRDefault="006817FA" w:rsidP="00BD138B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6817FA">
        <w:rPr>
          <w:rFonts w:hint="eastAsia"/>
          <w:szCs w:val="24"/>
        </w:rPr>
        <w:lastRenderedPageBreak/>
        <w:t>建筑</w:t>
      </w:r>
      <w:r w:rsidRPr="006817FA">
        <w:rPr>
          <w:szCs w:val="24"/>
        </w:rPr>
        <w:t>风格宜以中式为主，融入传统禅茶文化元素；建筑形式宜以传承院落</w:t>
      </w:r>
      <w:r w:rsidRPr="006817FA">
        <w:rPr>
          <w:rFonts w:hint="eastAsia"/>
          <w:szCs w:val="24"/>
        </w:rPr>
        <w:t>式</w:t>
      </w:r>
      <w:r w:rsidRPr="006817FA">
        <w:rPr>
          <w:szCs w:val="24"/>
        </w:rPr>
        <w:t>，体量适中、造型简约；建筑色彩宜以黑白灰系，不追求艳丽夸张，符合中国自然天成的诗意文化意境。</w:t>
      </w:r>
    </w:p>
    <w:p w:rsidR="005F1D24" w:rsidRDefault="005F1D24" w:rsidP="005F1D24">
      <w:pPr>
        <w:pStyle w:val="1"/>
      </w:pPr>
      <w:bookmarkStart w:id="4" w:name="_Toc17383022"/>
      <w:r>
        <w:rPr>
          <w:rFonts w:hint="eastAsia"/>
          <w:szCs w:val="24"/>
        </w:rPr>
        <w:t>第</w:t>
      </w:r>
      <w:r>
        <w:rPr>
          <w:szCs w:val="24"/>
        </w:rPr>
        <w:t>四</w:t>
      </w:r>
      <w:r>
        <w:rPr>
          <w:rFonts w:hint="eastAsia"/>
          <w:szCs w:val="24"/>
        </w:rPr>
        <w:t>章</w:t>
      </w:r>
      <w:r>
        <w:rPr>
          <w:rFonts w:hint="eastAsia"/>
          <w:szCs w:val="24"/>
        </w:rPr>
        <w:t xml:space="preserve">  </w:t>
      </w:r>
      <w:r w:rsidRPr="005F1D24">
        <w:rPr>
          <w:rFonts w:hint="eastAsia"/>
        </w:rPr>
        <w:t>市政</w:t>
      </w:r>
      <w:r w:rsidRPr="005F1D24">
        <w:t>工程</w:t>
      </w:r>
      <w:r w:rsidR="00C06B3E">
        <w:rPr>
          <w:rFonts w:hint="eastAsia"/>
        </w:rPr>
        <w:t>设施</w:t>
      </w:r>
      <w:r>
        <w:rPr>
          <w:rFonts w:hint="eastAsia"/>
        </w:rPr>
        <w:t>规划</w:t>
      </w:r>
      <w:bookmarkEnd w:id="4"/>
    </w:p>
    <w:p w:rsidR="005F1D24" w:rsidRPr="005F1D24" w:rsidRDefault="005F1D24" w:rsidP="005F1D24">
      <w:pPr>
        <w:pStyle w:val="a3"/>
        <w:numPr>
          <w:ilvl w:val="0"/>
          <w:numId w:val="3"/>
        </w:numPr>
        <w:ind w:firstLineChars="0"/>
        <w:rPr>
          <w:szCs w:val="24"/>
        </w:rPr>
      </w:pPr>
      <w:r>
        <w:rPr>
          <w:rFonts w:hint="eastAsia"/>
        </w:rPr>
        <w:t>规划</w:t>
      </w:r>
      <w:r w:rsidRPr="005F1D24">
        <w:rPr>
          <w:szCs w:val="24"/>
        </w:rPr>
        <w:t>地块给水</w:t>
      </w:r>
      <w:r w:rsidR="00314893">
        <w:rPr>
          <w:rFonts w:hint="eastAsia"/>
          <w:szCs w:val="24"/>
        </w:rPr>
        <w:t>自行解决</w:t>
      </w:r>
      <w:r w:rsidR="00314893">
        <w:rPr>
          <w:szCs w:val="24"/>
        </w:rPr>
        <w:t>，</w:t>
      </w:r>
      <w:r w:rsidR="00314893">
        <w:rPr>
          <w:rFonts w:hint="eastAsia"/>
          <w:szCs w:val="24"/>
        </w:rPr>
        <w:t>可</w:t>
      </w:r>
      <w:r w:rsidRPr="005F1D24">
        <w:rPr>
          <w:szCs w:val="24"/>
        </w:rPr>
        <w:t>由南侧高位水池供给</w:t>
      </w:r>
      <w:r w:rsidRPr="005F1D24">
        <w:rPr>
          <w:rFonts w:hint="eastAsia"/>
          <w:szCs w:val="24"/>
        </w:rPr>
        <w:t>，</w:t>
      </w:r>
      <w:r w:rsidRPr="005F1D24">
        <w:rPr>
          <w:szCs w:val="24"/>
        </w:rPr>
        <w:t>水源为山泉水。</w:t>
      </w:r>
    </w:p>
    <w:p w:rsidR="005F1D24" w:rsidRPr="005F1D24" w:rsidRDefault="005F1D24" w:rsidP="005F1D24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5F1D24">
        <w:rPr>
          <w:rFonts w:hint="eastAsia"/>
          <w:szCs w:val="24"/>
        </w:rPr>
        <w:t>规划地块排水采用雨污分流制，均以重力自流排放为原则。由于地块位于镇区外，雨污水自行处理，处理达标后就近排放原则</w:t>
      </w:r>
      <w:r w:rsidRPr="005F1D24">
        <w:rPr>
          <w:szCs w:val="24"/>
        </w:rPr>
        <w:t>。</w:t>
      </w:r>
    </w:p>
    <w:p w:rsidR="005F1D24" w:rsidRPr="005F1D24" w:rsidRDefault="005F1D24" w:rsidP="005F1D24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5F1D24">
        <w:rPr>
          <w:rFonts w:hint="eastAsia"/>
          <w:szCs w:val="24"/>
        </w:rPr>
        <w:t>规划</w:t>
      </w:r>
      <w:r w:rsidRPr="005F1D24">
        <w:rPr>
          <w:szCs w:val="24"/>
        </w:rPr>
        <w:t>地块内电力采用电缆排管埋地敷设</w:t>
      </w:r>
      <w:r w:rsidRPr="005F1D24">
        <w:rPr>
          <w:rFonts w:hint="eastAsia"/>
          <w:szCs w:val="24"/>
        </w:rPr>
        <w:t>，</w:t>
      </w:r>
      <w:r w:rsidRPr="005F1D24">
        <w:rPr>
          <w:szCs w:val="24"/>
        </w:rPr>
        <w:t>电源引自福岭村。</w:t>
      </w:r>
    </w:p>
    <w:p w:rsidR="005F1D24" w:rsidRDefault="005F1D24" w:rsidP="005F1D24">
      <w:pPr>
        <w:pStyle w:val="a3"/>
        <w:numPr>
          <w:ilvl w:val="0"/>
          <w:numId w:val="3"/>
        </w:numPr>
        <w:ind w:firstLineChars="0"/>
        <w:rPr>
          <w:sz w:val="23"/>
          <w:szCs w:val="23"/>
        </w:rPr>
      </w:pPr>
      <w:r w:rsidRPr="005F1D24">
        <w:rPr>
          <w:rFonts w:hint="eastAsia"/>
          <w:szCs w:val="24"/>
        </w:rPr>
        <w:t>规划地块内通信电缆采用通信排管埋地敷设</w:t>
      </w:r>
      <w:r>
        <w:rPr>
          <w:rFonts w:hint="eastAsia"/>
          <w:sz w:val="23"/>
          <w:szCs w:val="23"/>
        </w:rPr>
        <w:t>。通信管道应统一规划、设计，不同运营商的通信管道应共沟同步建设。</w:t>
      </w:r>
    </w:p>
    <w:p w:rsidR="005F1D24" w:rsidRPr="00314893" w:rsidRDefault="005F1D24" w:rsidP="005F1D24">
      <w:pPr>
        <w:pStyle w:val="a3"/>
        <w:numPr>
          <w:ilvl w:val="0"/>
          <w:numId w:val="3"/>
        </w:numPr>
        <w:ind w:firstLineChars="0"/>
      </w:pPr>
      <w:r w:rsidRPr="005F1D24">
        <w:rPr>
          <w:rFonts w:hint="eastAsia"/>
          <w:szCs w:val="24"/>
        </w:rPr>
        <w:t>数字电视线路原则上与通信线路走向相同</w:t>
      </w:r>
      <w:r>
        <w:rPr>
          <w:rFonts w:hint="eastAsia"/>
          <w:sz w:val="23"/>
          <w:szCs w:val="23"/>
        </w:rPr>
        <w:t>，同沟不同管，但应有明显的标志。</w:t>
      </w:r>
    </w:p>
    <w:p w:rsidR="00314893" w:rsidRPr="00314893" w:rsidRDefault="00314893" w:rsidP="005F1D24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314893">
        <w:rPr>
          <w:rFonts w:hint="eastAsia"/>
          <w:szCs w:val="24"/>
        </w:rPr>
        <w:t>后续</w:t>
      </w:r>
      <w:r w:rsidRPr="00314893">
        <w:rPr>
          <w:szCs w:val="24"/>
        </w:rPr>
        <w:t>建设中，应加强地质灾害防治与监管，并满足《</w:t>
      </w:r>
      <w:r w:rsidRPr="00314893">
        <w:rPr>
          <w:rFonts w:hint="eastAsia"/>
          <w:szCs w:val="24"/>
        </w:rPr>
        <w:t>森林</w:t>
      </w:r>
      <w:r w:rsidRPr="00314893">
        <w:rPr>
          <w:szCs w:val="24"/>
        </w:rPr>
        <w:t>防火条例》</w:t>
      </w:r>
      <w:r w:rsidRPr="00314893">
        <w:rPr>
          <w:rFonts w:hint="eastAsia"/>
          <w:szCs w:val="24"/>
        </w:rPr>
        <w:t>、</w:t>
      </w:r>
      <w:r w:rsidRPr="00314893">
        <w:rPr>
          <w:szCs w:val="24"/>
        </w:rPr>
        <w:t>《</w:t>
      </w:r>
      <w:r w:rsidRPr="00314893">
        <w:rPr>
          <w:rFonts w:hint="eastAsia"/>
          <w:szCs w:val="24"/>
        </w:rPr>
        <w:t>防洪</w:t>
      </w:r>
      <w:r w:rsidRPr="00314893">
        <w:rPr>
          <w:szCs w:val="24"/>
        </w:rPr>
        <w:t>标准》</w:t>
      </w:r>
      <w:r w:rsidRPr="00314893">
        <w:rPr>
          <w:rFonts w:hint="eastAsia"/>
          <w:szCs w:val="24"/>
        </w:rPr>
        <w:t>（</w:t>
      </w:r>
      <w:r w:rsidRPr="00314893">
        <w:rPr>
          <w:rFonts w:hint="eastAsia"/>
          <w:szCs w:val="24"/>
        </w:rPr>
        <w:t>GB50201-94</w:t>
      </w:r>
      <w:r w:rsidRPr="00314893">
        <w:rPr>
          <w:rFonts w:hint="eastAsia"/>
          <w:szCs w:val="24"/>
        </w:rPr>
        <w:t>）、</w:t>
      </w:r>
      <w:r w:rsidRPr="00314893">
        <w:rPr>
          <w:szCs w:val="24"/>
        </w:rPr>
        <w:t>《</w:t>
      </w:r>
      <w:r w:rsidRPr="00314893">
        <w:rPr>
          <w:rFonts w:hint="eastAsia"/>
          <w:szCs w:val="24"/>
        </w:rPr>
        <w:t>建筑</w:t>
      </w:r>
      <w:r w:rsidRPr="00314893">
        <w:rPr>
          <w:szCs w:val="24"/>
        </w:rPr>
        <w:t>设计防火规范》</w:t>
      </w:r>
      <w:r w:rsidRPr="00314893">
        <w:rPr>
          <w:rFonts w:hint="eastAsia"/>
          <w:szCs w:val="24"/>
        </w:rPr>
        <w:t>GB50016-2014</w:t>
      </w:r>
      <w:r w:rsidRPr="00314893">
        <w:rPr>
          <w:rFonts w:hint="eastAsia"/>
          <w:szCs w:val="24"/>
        </w:rPr>
        <w:t>等</w:t>
      </w:r>
      <w:r w:rsidRPr="00314893">
        <w:rPr>
          <w:szCs w:val="24"/>
        </w:rPr>
        <w:t>相关规范要求。</w:t>
      </w:r>
    </w:p>
    <w:p w:rsidR="00337AF9" w:rsidRDefault="00337AF9" w:rsidP="00337AF9">
      <w:pPr>
        <w:pStyle w:val="1"/>
        <w:rPr>
          <w:sz w:val="32"/>
          <w:szCs w:val="32"/>
        </w:rPr>
      </w:pPr>
      <w:bookmarkStart w:id="5" w:name="_Toc17383023"/>
      <w:r w:rsidRPr="00337AF9">
        <w:rPr>
          <w:rFonts w:hint="eastAsia"/>
        </w:rPr>
        <w:t>第五章</w:t>
      </w:r>
      <w:r>
        <w:rPr>
          <w:rFonts w:hint="eastAsia"/>
        </w:rPr>
        <w:t xml:space="preserve">  </w:t>
      </w:r>
      <w:r w:rsidRPr="00337AF9">
        <w:rPr>
          <w:rFonts w:hint="eastAsia"/>
        </w:rPr>
        <w:t>附则</w:t>
      </w:r>
      <w:bookmarkEnd w:id="5"/>
    </w:p>
    <w:p w:rsidR="00337AF9" w:rsidRPr="00337AF9" w:rsidRDefault="00337AF9" w:rsidP="00337AF9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337AF9">
        <w:rPr>
          <w:rFonts w:hint="eastAsia"/>
          <w:szCs w:val="24"/>
        </w:rPr>
        <w:t>文本中字体黑体加粗部分的条款为规划强制性内容。</w:t>
      </w:r>
    </w:p>
    <w:p w:rsidR="00337AF9" w:rsidRPr="00937C7C" w:rsidRDefault="00941284" w:rsidP="00941284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937C7C">
        <w:rPr>
          <w:rFonts w:hint="eastAsia"/>
          <w:szCs w:val="24"/>
        </w:rPr>
        <w:t>本文本和图则由安溪县</w:t>
      </w:r>
      <w:r w:rsidRPr="00937C7C">
        <w:rPr>
          <w:szCs w:val="24"/>
        </w:rPr>
        <w:t>自然资源</w:t>
      </w:r>
      <w:r w:rsidRPr="00937C7C">
        <w:rPr>
          <w:rFonts w:hint="eastAsia"/>
          <w:szCs w:val="24"/>
        </w:rPr>
        <w:t>局负责解释。</w:t>
      </w:r>
    </w:p>
    <w:p w:rsidR="00937C7C" w:rsidRPr="00941284" w:rsidRDefault="00937C7C" w:rsidP="00941284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937C7C">
        <w:rPr>
          <w:rFonts w:hint="eastAsia"/>
          <w:szCs w:val="24"/>
        </w:rPr>
        <w:t>本文本和图则自批准之日起实施。</w:t>
      </w:r>
    </w:p>
    <w:p w:rsidR="00941284" w:rsidRPr="00941284" w:rsidRDefault="00941284" w:rsidP="00941284">
      <w:pPr>
        <w:pStyle w:val="1"/>
      </w:pPr>
      <w:bookmarkStart w:id="6" w:name="_Toc17383024"/>
      <w:r w:rsidRPr="00941284">
        <w:rPr>
          <w:rFonts w:hint="eastAsia"/>
        </w:rPr>
        <w:t>附</w:t>
      </w:r>
      <w:r w:rsidRPr="00941284">
        <w:rPr>
          <w:rFonts w:hint="eastAsia"/>
        </w:rPr>
        <w:t xml:space="preserve">    </w:t>
      </w:r>
      <w:r w:rsidRPr="00941284">
        <w:rPr>
          <w:rFonts w:hint="eastAsia"/>
        </w:rPr>
        <w:t>录</w:t>
      </w:r>
      <w:bookmarkEnd w:id="6"/>
    </w:p>
    <w:p w:rsidR="00941284" w:rsidRPr="00941284" w:rsidRDefault="00941284" w:rsidP="00941284">
      <w:pPr>
        <w:rPr>
          <w:b/>
        </w:rPr>
      </w:pPr>
      <w:r w:rsidRPr="00941284">
        <w:rPr>
          <w:rFonts w:hint="eastAsia"/>
          <w:b/>
        </w:rPr>
        <w:t>一、名词解释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1、地块：被城市道路、街坊道路或用地分界线所包围的用地。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2、容积率：指建筑物地面以上各层建筑面积的总和与建筑基地面积的比值。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3、建筑密度：建筑物基底占地面积与建筑基地面积的比率</w:t>
      </w:r>
      <w:r w:rsidRPr="00941284">
        <w:rPr>
          <w:rFonts w:ascii="宋体"/>
        </w:rPr>
        <w:t>(%)</w:t>
      </w:r>
      <w:r w:rsidRPr="00941284">
        <w:rPr>
          <w:rFonts w:ascii="宋体" w:hint="eastAsia"/>
        </w:rPr>
        <w:t>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4、绿地率：绿地总面积与净地块面积之比</w:t>
      </w:r>
      <w:r w:rsidRPr="00941284">
        <w:rPr>
          <w:rFonts w:ascii="宋体"/>
        </w:rPr>
        <w:t>(</w:t>
      </w:r>
      <w:r w:rsidRPr="00941284">
        <w:rPr>
          <w:rFonts w:ascii="宋体" w:hint="eastAsia"/>
        </w:rPr>
        <w:t>%</w:t>
      </w:r>
      <w:r w:rsidRPr="00941284">
        <w:rPr>
          <w:rFonts w:ascii="宋体"/>
        </w:rPr>
        <w:t>)</w:t>
      </w:r>
      <w:r w:rsidRPr="00941284">
        <w:rPr>
          <w:rFonts w:ascii="宋体" w:hint="eastAsia"/>
        </w:rPr>
        <w:t>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5、建筑高度：建筑物室外地面到其檐口或屋面面层的高度，屋顶上的水箱间、电梯间、电梯机房、排烟机房和楼梯出口小间等不计入建筑高度。</w:t>
      </w:r>
    </w:p>
    <w:p w:rsid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6、建筑后退：建筑物后退红线的距离。</w:t>
      </w:r>
    </w:p>
    <w:p w:rsidR="00941284" w:rsidRDefault="00941284" w:rsidP="00941284">
      <w:pPr>
        <w:rPr>
          <w:rFonts w:ascii="宋体"/>
        </w:rPr>
      </w:pPr>
    </w:p>
    <w:p w:rsidR="00941284" w:rsidRPr="00941284" w:rsidRDefault="00941284" w:rsidP="00941284">
      <w:pPr>
        <w:rPr>
          <w:rFonts w:ascii="宋体"/>
        </w:rPr>
      </w:pPr>
    </w:p>
    <w:p w:rsidR="00941284" w:rsidRPr="00941284" w:rsidRDefault="00941284" w:rsidP="00941284">
      <w:pPr>
        <w:rPr>
          <w:rFonts w:ascii="黑体" w:eastAsia="黑体" w:hAnsi="宋体"/>
          <w:b/>
          <w:szCs w:val="24"/>
        </w:rPr>
      </w:pPr>
      <w:r w:rsidRPr="00941284">
        <w:rPr>
          <w:rFonts w:ascii="黑体" w:eastAsia="黑体" w:hAnsi="宋体" w:hint="eastAsia"/>
          <w:b/>
          <w:szCs w:val="24"/>
        </w:rPr>
        <w:t>二、</w:t>
      </w:r>
      <w:r w:rsidRPr="00941284">
        <w:rPr>
          <w:rFonts w:hint="eastAsia"/>
          <w:b/>
        </w:rPr>
        <w:t>文本标准词说明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1、执行本文本时，对要求严格程度的用词说明如下，以便使用时区别对待：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（1）表示很严格，非这样不可的用词：正面采用“必须”，反面用“严禁”。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（2）表示严格，在正常情况下应这样做的用词：正面采用“应”，反面采用“不应”或“不得”。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（3）表示允许选择，在条件许可时首先这样做的用词：正面采用“宜”或“可”，反面为“不宜”。</w:t>
      </w:r>
    </w:p>
    <w:p w:rsidR="00941284" w:rsidRPr="00941284" w:rsidRDefault="00941284" w:rsidP="00941284">
      <w:pPr>
        <w:rPr>
          <w:rFonts w:ascii="宋体"/>
        </w:rPr>
      </w:pPr>
      <w:r w:rsidRPr="00941284">
        <w:rPr>
          <w:rFonts w:ascii="宋体" w:hint="eastAsia"/>
        </w:rPr>
        <w:t>2、条文中标明应按其它有关标准和规范执行时，写法为“应符合……要求或规定”或“应按……执行”；非必须按所定标准或规范执行的，写法为“可参照……执行”。</w:t>
      </w:r>
    </w:p>
    <w:p w:rsidR="00070895" w:rsidRDefault="00070895" w:rsidP="00941284">
      <w:pPr>
        <w:pStyle w:val="a3"/>
        <w:ind w:left="420" w:firstLineChars="0" w:firstLine="0"/>
        <w:rPr>
          <w:szCs w:val="24"/>
        </w:rPr>
        <w:sectPr w:rsidR="00070895" w:rsidSect="00441E55">
          <w:headerReference w:type="default" r:id="rId10"/>
          <w:footerReference w:type="default" r:id="rId11"/>
          <w:pgSz w:w="23814" w:h="16839" w:orient="landscape" w:code="8"/>
          <w:pgMar w:top="1797" w:right="1440" w:bottom="1797" w:left="8732" w:header="851" w:footer="992" w:gutter="0"/>
          <w:pgNumType w:start="1"/>
          <w:cols w:space="425"/>
          <w:docGrid w:type="lines" w:linePitch="312"/>
        </w:sectPr>
      </w:pPr>
    </w:p>
    <w:p w:rsidR="00941284" w:rsidRDefault="00941284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070895" w:rsidRDefault="00070895" w:rsidP="00941284">
      <w:pPr>
        <w:pStyle w:val="a3"/>
        <w:ind w:left="420" w:firstLineChars="0" w:firstLine="0"/>
        <w:rPr>
          <w:szCs w:val="24"/>
        </w:rPr>
      </w:pPr>
    </w:p>
    <w:p w:rsidR="003B5821" w:rsidRPr="008C4451" w:rsidRDefault="003B5821" w:rsidP="003B5821">
      <w:pPr>
        <w:pStyle w:val="10"/>
        <w:jc w:val="center"/>
      </w:pPr>
      <w:r w:rsidRPr="008C4451">
        <w:rPr>
          <w:rFonts w:hint="eastAsia"/>
        </w:rPr>
        <w:t>第</w:t>
      </w:r>
      <w:r w:rsidR="00E20F01">
        <w:rPr>
          <w:rFonts w:hint="eastAsia"/>
        </w:rPr>
        <w:t>二</w:t>
      </w:r>
      <w:r w:rsidRPr="008C4451">
        <w:rPr>
          <w:rFonts w:hint="eastAsia"/>
        </w:rPr>
        <w:t xml:space="preserve">部分  </w:t>
      </w:r>
      <w:r>
        <w:rPr>
          <w:rFonts w:hint="eastAsia"/>
        </w:rPr>
        <w:t>附图</w:t>
      </w:r>
    </w:p>
    <w:p w:rsidR="003B5821" w:rsidRPr="003B5821" w:rsidRDefault="003B5821" w:rsidP="003B5821">
      <w:pPr>
        <w:pStyle w:val="1"/>
        <w:spacing w:before="0" w:line="240" w:lineRule="auto"/>
        <w:ind w:firstLineChars="2050" w:firstLine="6150"/>
        <w:rPr>
          <w:b w:val="0"/>
        </w:rPr>
      </w:pPr>
      <w:r>
        <w:rPr>
          <w:rFonts w:hint="eastAsia"/>
          <w:b w:val="0"/>
        </w:rPr>
        <w:t>1</w:t>
      </w:r>
      <w:r>
        <w:rPr>
          <w:rFonts w:hint="eastAsia"/>
          <w:b w:val="0"/>
        </w:rPr>
        <w:t>、</w:t>
      </w:r>
      <w:r>
        <w:rPr>
          <w:b w:val="0"/>
        </w:rPr>
        <w:t>区位、现状图</w:t>
      </w:r>
    </w:p>
    <w:p w:rsidR="003B5821" w:rsidRPr="003B5821" w:rsidRDefault="003B5821" w:rsidP="003B5821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>
        <w:rPr>
          <w:b w:val="0"/>
        </w:rPr>
        <w:t xml:space="preserve">                                  </w:t>
      </w:r>
      <w:r>
        <w:rPr>
          <w:rFonts w:hint="eastAsia"/>
          <w:b w:val="0"/>
        </w:rPr>
        <w:t>2</w:t>
      </w:r>
      <w:r>
        <w:rPr>
          <w:rFonts w:hint="eastAsia"/>
          <w:b w:val="0"/>
        </w:rPr>
        <w:t>、</w:t>
      </w:r>
      <w:r>
        <w:rPr>
          <w:b w:val="0"/>
        </w:rPr>
        <w:t>土地使用控制</w:t>
      </w:r>
      <w:r>
        <w:rPr>
          <w:rFonts w:hint="eastAsia"/>
          <w:b w:val="0"/>
        </w:rPr>
        <w:t>图</w:t>
      </w:r>
    </w:p>
    <w:p w:rsidR="003B5821" w:rsidRPr="003B5821" w:rsidRDefault="003B5821" w:rsidP="003B5821">
      <w:pPr>
        <w:pStyle w:val="1"/>
        <w:spacing w:before="0" w:line="240" w:lineRule="auto"/>
        <w:ind w:firstLineChars="350" w:firstLine="1050"/>
        <w:jc w:val="left"/>
        <w:rPr>
          <w:b w:val="0"/>
        </w:rPr>
      </w:pPr>
      <w:r w:rsidRPr="003B5821">
        <w:rPr>
          <w:rFonts w:hint="eastAsia"/>
          <w:b w:val="0"/>
        </w:rPr>
        <w:t xml:space="preserve">     </w:t>
      </w:r>
      <w:r>
        <w:rPr>
          <w:b w:val="0"/>
        </w:rPr>
        <w:t xml:space="preserve">               </w:t>
      </w:r>
    </w:p>
    <w:p w:rsidR="00070895" w:rsidRPr="003B5821" w:rsidRDefault="00070895" w:rsidP="00941284">
      <w:pPr>
        <w:pStyle w:val="a3"/>
        <w:ind w:left="420" w:firstLineChars="0" w:firstLine="0"/>
        <w:rPr>
          <w:szCs w:val="24"/>
        </w:rPr>
      </w:pPr>
    </w:p>
    <w:sectPr w:rsidR="00070895" w:rsidRPr="003B5821" w:rsidSect="008D6D36">
      <w:headerReference w:type="default" r:id="rId12"/>
      <w:footerReference w:type="default" r:id="rId13"/>
      <w:pgSz w:w="23814" w:h="16839" w:orient="landscape" w:code="8"/>
      <w:pgMar w:top="1797" w:right="1440" w:bottom="1797" w:left="873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4B" w:rsidRDefault="00A8054B" w:rsidP="00441E55">
      <w:pPr>
        <w:spacing w:line="240" w:lineRule="auto"/>
      </w:pPr>
      <w:r>
        <w:separator/>
      </w:r>
    </w:p>
  </w:endnote>
  <w:endnote w:type="continuationSeparator" w:id="0">
    <w:p w:rsidR="00A8054B" w:rsidRDefault="00A8054B" w:rsidP="0044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...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55" w:rsidRDefault="00441E55">
    <w:pPr>
      <w:pStyle w:val="a7"/>
      <w:jc w:val="center"/>
    </w:pPr>
  </w:p>
  <w:p w:rsidR="00441E55" w:rsidRDefault="00441E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943484"/>
      <w:docPartObj>
        <w:docPartGallery w:val="Page Numbers (Bottom of Page)"/>
        <w:docPartUnique/>
      </w:docPartObj>
    </w:sdtPr>
    <w:sdtEndPr/>
    <w:sdtContent>
      <w:p w:rsidR="00441E55" w:rsidRDefault="00441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93" w:rsidRPr="00314893">
          <w:rPr>
            <w:noProof/>
            <w:lang w:val="zh-CN"/>
          </w:rPr>
          <w:t>2</w:t>
        </w:r>
        <w:r>
          <w:fldChar w:fldCharType="end"/>
        </w:r>
      </w:p>
    </w:sdtContent>
  </w:sdt>
  <w:p w:rsidR="00441E55" w:rsidRDefault="00441E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55" w:rsidRDefault="00441E55">
    <w:pPr>
      <w:pStyle w:val="a7"/>
      <w:jc w:val="center"/>
    </w:pPr>
  </w:p>
  <w:p w:rsidR="00441E55" w:rsidRDefault="00441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4B" w:rsidRDefault="00A8054B" w:rsidP="00441E55">
      <w:pPr>
        <w:spacing w:line="240" w:lineRule="auto"/>
      </w:pPr>
      <w:r>
        <w:separator/>
      </w:r>
    </w:p>
  </w:footnote>
  <w:footnote w:type="continuationSeparator" w:id="0">
    <w:p w:rsidR="00A8054B" w:rsidRDefault="00A8054B" w:rsidP="0044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55" w:rsidRPr="00441E55" w:rsidRDefault="00441E55" w:rsidP="00441E5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55" w:rsidRDefault="00441E55">
    <w:pPr>
      <w:pStyle w:val="a6"/>
    </w:pPr>
    <w:r>
      <w:rPr>
        <w:rFonts w:hint="eastAsia"/>
      </w:rPr>
      <w:t>安溪</w:t>
    </w:r>
    <w:r>
      <w:t>县芦田镇福岭村</w:t>
    </w:r>
    <w:r w:rsidR="00A523A7">
      <w:rPr>
        <w:rFonts w:hint="eastAsia"/>
      </w:rPr>
      <w:t>A1</w:t>
    </w:r>
    <w:r>
      <w:rPr>
        <w:rFonts w:hint="eastAsia"/>
      </w:rPr>
      <w:t>地块</w:t>
    </w:r>
    <w:r>
      <w:t>控制性详细规划</w:t>
    </w:r>
    <w:r>
      <w:rPr>
        <w:rFonts w:hint="eastAsia"/>
      </w:rPr>
      <w:t xml:space="preserve">   </w:t>
    </w:r>
    <w:r>
      <w:rPr>
        <w:rFonts w:hint="eastAsia"/>
      </w:rPr>
      <w:t>文本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55" w:rsidRPr="00441E55" w:rsidRDefault="00441E55" w:rsidP="00441E5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C8D"/>
    <w:multiLevelType w:val="hybridMultilevel"/>
    <w:tmpl w:val="6ED20F30"/>
    <w:lvl w:ilvl="0" w:tplc="FC1ECF6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8839AC"/>
    <w:multiLevelType w:val="hybridMultilevel"/>
    <w:tmpl w:val="65B8E21A"/>
    <w:lvl w:ilvl="0" w:tplc="020CFE04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F2B15"/>
    <w:multiLevelType w:val="hybridMultilevel"/>
    <w:tmpl w:val="1E58756C"/>
    <w:lvl w:ilvl="0" w:tplc="FC1ECF6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4A67C7"/>
    <w:multiLevelType w:val="hybridMultilevel"/>
    <w:tmpl w:val="2DC8DD32"/>
    <w:lvl w:ilvl="0" w:tplc="FC1ECF6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27"/>
    <w:rsid w:val="00070895"/>
    <w:rsid w:val="00153CF0"/>
    <w:rsid w:val="002A12B4"/>
    <w:rsid w:val="002D1920"/>
    <w:rsid w:val="00314893"/>
    <w:rsid w:val="00337AF9"/>
    <w:rsid w:val="0036378B"/>
    <w:rsid w:val="003B5821"/>
    <w:rsid w:val="00441E55"/>
    <w:rsid w:val="004732A4"/>
    <w:rsid w:val="00574259"/>
    <w:rsid w:val="005C2C81"/>
    <w:rsid w:val="005F1D24"/>
    <w:rsid w:val="00656B8C"/>
    <w:rsid w:val="00674CD5"/>
    <w:rsid w:val="006817FA"/>
    <w:rsid w:val="008838D3"/>
    <w:rsid w:val="008C4451"/>
    <w:rsid w:val="008C7F2B"/>
    <w:rsid w:val="008D6D36"/>
    <w:rsid w:val="00937C7C"/>
    <w:rsid w:val="00941284"/>
    <w:rsid w:val="009A5BAB"/>
    <w:rsid w:val="00A40CDC"/>
    <w:rsid w:val="00A523A7"/>
    <w:rsid w:val="00A8054B"/>
    <w:rsid w:val="00B1011A"/>
    <w:rsid w:val="00B7071D"/>
    <w:rsid w:val="00BD0401"/>
    <w:rsid w:val="00BD138B"/>
    <w:rsid w:val="00C05827"/>
    <w:rsid w:val="00C06B3E"/>
    <w:rsid w:val="00C56AF4"/>
    <w:rsid w:val="00CA0AC9"/>
    <w:rsid w:val="00CC4FCA"/>
    <w:rsid w:val="00D00F55"/>
    <w:rsid w:val="00D36D0B"/>
    <w:rsid w:val="00D56ECF"/>
    <w:rsid w:val="00DB1E18"/>
    <w:rsid w:val="00E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A7B88-CA81-4B91-895F-DCE081A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55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74259"/>
    <w:pPr>
      <w:keepNext/>
      <w:keepLines/>
      <w:spacing w:before="34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2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05827"/>
    <w:pPr>
      <w:ind w:firstLineChars="200" w:firstLine="420"/>
    </w:pPr>
  </w:style>
  <w:style w:type="table" w:styleId="a4">
    <w:name w:val="Table Grid"/>
    <w:basedOn w:val="a1"/>
    <w:uiPriority w:val="39"/>
    <w:rsid w:val="005C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74259"/>
    <w:rPr>
      <w:b/>
      <w:bCs/>
      <w:kern w:val="44"/>
      <w:sz w:val="30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8C4451"/>
    <w:pPr>
      <w:tabs>
        <w:tab w:val="right" w:leader="dot" w:pos="13632"/>
      </w:tabs>
    </w:pPr>
    <w:rPr>
      <w:rFonts w:ascii="微软雅黑" w:eastAsia="微软雅黑" w:hAnsi="微软雅黑"/>
      <w:b/>
      <w:sz w:val="52"/>
    </w:rPr>
  </w:style>
  <w:style w:type="character" w:styleId="a5">
    <w:name w:val="Hyperlink"/>
    <w:basedOn w:val="a0"/>
    <w:uiPriority w:val="99"/>
    <w:unhideWhenUsed/>
    <w:rsid w:val="00937C7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4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1E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1E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1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144C-F647-4D84-B69A-ED3AA6EA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306</Words>
  <Characters>1750</Characters>
  <Application>Microsoft Office Word</Application>
  <DocSecurity>0</DocSecurity>
  <Lines>14</Lines>
  <Paragraphs>4</Paragraphs>
  <ScaleCrop>false</ScaleCrop>
  <Company>china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2019-09-02T07:37:00Z</cp:lastPrinted>
  <dcterms:created xsi:type="dcterms:W3CDTF">2019-08-22T03:05:00Z</dcterms:created>
  <dcterms:modified xsi:type="dcterms:W3CDTF">2019-09-19T03:42:00Z</dcterms:modified>
</cp:coreProperties>
</file>