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D4333">
      <w:pPr>
        <w:widowControl/>
        <w:spacing w:line="240" w:lineRule="auto"/>
        <w:ind w:firstLine="0" w:firstLineChars="0"/>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安溪县</w:t>
      </w:r>
      <w:r>
        <w:rPr>
          <w:rFonts w:hint="eastAsia" w:ascii="方正小标宋简体" w:hAnsi="方正小标宋简体" w:eastAsia="方正小标宋简体" w:cs="方正小标宋简体"/>
          <w:color w:val="000000"/>
          <w:kern w:val="0"/>
          <w:sz w:val="44"/>
          <w:szCs w:val="44"/>
          <w:shd w:val="clear" w:color="auto" w:fill="FFFFFF"/>
          <w:lang w:val="en-US" w:eastAsia="zh-CN"/>
        </w:rPr>
        <w:t>西坪镇</w:t>
      </w:r>
      <w:r>
        <w:rPr>
          <w:rFonts w:ascii="方正小标宋简体" w:hAnsi="方正小标宋简体" w:eastAsia="方正小标宋简体" w:cs="方正小标宋简体"/>
          <w:color w:val="000000"/>
          <w:kern w:val="0"/>
          <w:sz w:val="44"/>
          <w:szCs w:val="44"/>
          <w:shd w:val="clear" w:color="auto" w:fill="FFFFFF"/>
        </w:rPr>
        <w:t>202</w:t>
      </w:r>
      <w:r>
        <w:rPr>
          <w:rFonts w:hint="eastAsia" w:ascii="方正小标宋简体" w:hAnsi="方正小标宋简体" w:eastAsia="方正小标宋简体" w:cs="方正小标宋简体"/>
          <w:color w:val="000000"/>
          <w:kern w:val="0"/>
          <w:sz w:val="44"/>
          <w:szCs w:val="44"/>
          <w:shd w:val="clear" w:color="auto" w:fill="FFFFFF"/>
          <w:lang w:val="en-US" w:eastAsia="zh-CN"/>
        </w:rPr>
        <w:t>4</w:t>
      </w:r>
      <w:r>
        <w:rPr>
          <w:rFonts w:hint="eastAsia" w:ascii="方正小标宋简体" w:hAnsi="方正小标宋简体" w:eastAsia="方正小标宋简体" w:cs="方正小标宋简体"/>
          <w:color w:val="000000"/>
          <w:kern w:val="0"/>
          <w:sz w:val="44"/>
          <w:szCs w:val="44"/>
          <w:shd w:val="clear" w:color="auto" w:fill="FFFFFF"/>
        </w:rPr>
        <w:t>年政府信息公开工作</w:t>
      </w:r>
    </w:p>
    <w:p w14:paraId="4C7EA1F0">
      <w:pPr>
        <w:widowControl/>
        <w:spacing w:line="240" w:lineRule="auto"/>
        <w:ind w:firstLine="0" w:firstLineChars="0"/>
        <w:jc w:val="center"/>
        <w:rPr>
          <w:rFonts w:ascii="方正小标宋简体" w:hAnsi="方正小标宋简体" w:eastAsia="方正小标宋简体" w:cs="Times New Roman"/>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年度报告</w:t>
      </w:r>
    </w:p>
    <w:p w14:paraId="5E0FA46F">
      <w:pPr>
        <w:widowControl/>
        <w:jc w:val="left"/>
        <w:rPr>
          <w:rFonts w:ascii="宋体" w:cs="Times New Roman"/>
          <w:color w:val="000000"/>
          <w:kern w:val="0"/>
          <w:sz w:val="24"/>
          <w:szCs w:val="24"/>
          <w:shd w:val="clear" w:color="auto" w:fill="FFFFFF"/>
        </w:rPr>
      </w:pPr>
    </w:p>
    <w:p w14:paraId="30681771">
      <w:pPr>
        <w:widowControl/>
        <w:spacing w:line="240" w:lineRule="auto"/>
        <w:ind w:firstLine="640" w:firstLineChars="200"/>
        <w:jc w:val="both"/>
        <w:rPr>
          <w:rFonts w:cs="Times New Roman"/>
        </w:rPr>
      </w:pPr>
      <w:bookmarkStart w:id="0" w:name="OLE_LINK1"/>
      <w:r>
        <w:rPr>
          <w:rFonts w:hint="eastAsia" w:ascii="仿宋_GB2312" w:hAnsi="宋体" w:eastAsia="仿宋_GB2312" w:cs="仿宋_GB2312"/>
          <w:color w:val="000000"/>
          <w:kern w:val="0"/>
          <w:sz w:val="32"/>
          <w:szCs w:val="32"/>
        </w:rPr>
        <w:t>根据《中华人民共和国政府信息公开条例》（国务院令第</w:t>
      </w:r>
      <w:r>
        <w:rPr>
          <w:rFonts w:ascii="仿宋_GB2312" w:hAnsi="宋体" w:eastAsia="仿宋_GB2312" w:cs="仿宋_GB2312"/>
          <w:color w:val="000000"/>
          <w:kern w:val="0"/>
          <w:sz w:val="32"/>
          <w:szCs w:val="32"/>
        </w:rPr>
        <w:t>711</w:t>
      </w:r>
      <w:r>
        <w:rPr>
          <w:rFonts w:hint="eastAsia" w:ascii="仿宋_GB2312" w:hAnsi="宋体" w:eastAsia="仿宋_GB2312" w:cs="仿宋_GB2312"/>
          <w:color w:val="000000"/>
          <w:kern w:val="0"/>
          <w:sz w:val="32"/>
          <w:szCs w:val="32"/>
        </w:rPr>
        <w:t>号）等要求，特编制并向社会公布西坪镇人民政府办公室2024年政府信息公开工作年度报告。本报告由总体情况，主动公开政府信息的情况，收到和处理政府信息公开申请情况，政府信息公开行政复议、行政诉讼情况，存在的主要问题及改进情况，其他需要报告的事项等六部分组成。本年报中所列数据的统计期限自</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日起至</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31</w:t>
      </w:r>
      <w:r>
        <w:rPr>
          <w:rFonts w:hint="eastAsia" w:ascii="仿宋_GB2312" w:hAnsi="宋体" w:eastAsia="仿宋_GB2312" w:cs="仿宋_GB2312"/>
          <w:color w:val="000000"/>
          <w:kern w:val="0"/>
          <w:sz w:val="32"/>
          <w:szCs w:val="32"/>
        </w:rPr>
        <w:t>日止。本年报电子版可在“</w:t>
      </w:r>
      <w:r>
        <w:rPr>
          <w:rFonts w:hint="eastAsia" w:ascii="仿宋_GB2312" w:hAnsi="宋体" w:eastAsia="仿宋_GB2312" w:cs="仿宋_GB2312"/>
          <w:color w:val="000000"/>
          <w:kern w:val="0"/>
          <w:sz w:val="32"/>
          <w:szCs w:val="32"/>
          <w:lang w:val="en-US" w:eastAsia="zh-CN"/>
        </w:rPr>
        <w:t>西坪镇人民</w:t>
      </w:r>
      <w:r>
        <w:rPr>
          <w:rFonts w:hint="eastAsia" w:ascii="仿宋_GB2312" w:hAnsi="宋体" w:eastAsia="仿宋_GB2312" w:cs="仿宋_GB2312"/>
          <w:color w:val="000000"/>
          <w:kern w:val="0"/>
          <w:sz w:val="32"/>
          <w:szCs w:val="32"/>
        </w:rPr>
        <w:t>政府门户网</w:t>
      </w:r>
      <w:r>
        <w:rPr>
          <w:rFonts w:hint="eastAsia" w:ascii="仿宋_GB2312" w:hAnsi="宋体" w:eastAsia="仿宋_GB2312" w:cs="仿宋_GB2312"/>
          <w:color w:val="000000"/>
          <w:kern w:val="0"/>
          <w:sz w:val="32"/>
          <w:szCs w:val="32"/>
          <w:lang w:val="en-US" w:eastAsia="zh-CN"/>
        </w:rPr>
        <w:t>站”</w:t>
      </w:r>
      <w:r>
        <w:rPr>
          <w:rFonts w:hint="eastAsia" w:ascii="仿宋_GB2312" w:hAnsi="宋体" w:eastAsia="仿宋_GB2312" w:cs="仿宋_GB2312"/>
          <w:color w:val="000000"/>
          <w:kern w:val="0"/>
          <w:sz w:val="32"/>
          <w:szCs w:val="32"/>
        </w:rPr>
        <w:t>（http://www.fjax.gov.cn/zwgk/zfxxgkzl/xzzfxxgk/xpz/zfxxgkzn/）下载。如对本年报有疑问，请与</w:t>
      </w:r>
      <w:r>
        <w:rPr>
          <w:rFonts w:hint="eastAsia" w:ascii="仿宋_GB2312" w:hAnsi="宋体" w:eastAsia="仿宋_GB2312" w:cs="仿宋_GB2312"/>
          <w:color w:val="000000"/>
          <w:kern w:val="0"/>
          <w:sz w:val="32"/>
          <w:szCs w:val="32"/>
          <w:lang w:val="en-US" w:eastAsia="zh-CN"/>
        </w:rPr>
        <w:t>西坪镇人民政府</w:t>
      </w:r>
      <w:r>
        <w:rPr>
          <w:rFonts w:hint="eastAsia" w:ascii="仿宋_GB2312" w:hAnsi="宋体" w:eastAsia="仿宋_GB2312" w:cs="仿宋_GB2312"/>
          <w:color w:val="000000"/>
          <w:kern w:val="0"/>
          <w:sz w:val="32"/>
          <w:szCs w:val="32"/>
        </w:rPr>
        <w:t>办公室联系（</w:t>
      </w:r>
      <w:r>
        <w:rPr>
          <w:rFonts w:hint="eastAsia" w:ascii="仿宋_GB2312" w:hAnsi="宋体" w:eastAsia="仿宋_GB2312" w:cs="仿宋_GB2312"/>
          <w:color w:val="000000"/>
          <w:kern w:val="0"/>
          <w:sz w:val="32"/>
          <w:szCs w:val="32"/>
          <w:lang w:val="en-US" w:eastAsia="zh-CN"/>
        </w:rPr>
        <w:t>地址：安溪县西坪镇珍茗街9号，邮编：362431，电话：0595-23411002，传真：23415068，电子邮箱：axxxpz@163.com</w:t>
      </w:r>
      <w:r>
        <w:rPr>
          <w:rFonts w:hint="eastAsia" w:ascii="仿宋_GB2312" w:hAnsi="宋体" w:eastAsia="仿宋_GB2312" w:cs="仿宋_GB2312"/>
          <w:color w:val="000000"/>
          <w:kern w:val="0"/>
          <w:sz w:val="32"/>
          <w:szCs w:val="32"/>
        </w:rPr>
        <w:t>）。</w:t>
      </w:r>
    </w:p>
    <w:p w14:paraId="205117B3">
      <w:pPr>
        <w:widowControl/>
        <w:spacing w:line="560" w:lineRule="exact"/>
        <w:ind w:firstLine="640" w:firstLineChars="200"/>
        <w:jc w:val="both"/>
        <w:rPr>
          <w:rFonts w:ascii="宋体" w:cs="Times New Roman"/>
          <w:color w:val="000000"/>
          <w:sz w:val="24"/>
          <w:szCs w:val="24"/>
        </w:rPr>
      </w:pPr>
      <w:r>
        <w:rPr>
          <w:rFonts w:hint="eastAsia" w:ascii="黑体" w:hAnsi="宋体" w:eastAsia="黑体" w:cs="黑体"/>
          <w:color w:val="000000"/>
          <w:kern w:val="0"/>
          <w:sz w:val="32"/>
          <w:szCs w:val="32"/>
        </w:rPr>
        <w:t>一、总体情况</w:t>
      </w:r>
    </w:p>
    <w:p w14:paraId="1A3CA170">
      <w:pPr>
        <w:widowControl/>
        <w:spacing w:line="560" w:lineRule="exact"/>
        <w:ind w:firstLine="640" w:firstLineChars="200"/>
        <w:jc w:val="both"/>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lang w:val="en-US" w:eastAsia="zh-CN"/>
        </w:rPr>
        <w:t>202</w:t>
      </w:r>
      <w:r>
        <w:rPr>
          <w:rFonts w:hint="eastAsia" w:ascii="仿宋_GB2312" w:hAnsi="宋体" w:eastAsia="仿宋_GB2312" w:cs="仿宋_GB2312"/>
          <w:color w:val="000000"/>
          <w:kern w:val="0"/>
          <w:sz w:val="32"/>
          <w:szCs w:val="32"/>
          <w:lang w:val="en-US" w:eastAsia="zh-CN"/>
        </w:rPr>
        <w:t>4</w:t>
      </w:r>
      <w:r>
        <w:rPr>
          <w:rFonts w:ascii="仿宋_GB2312" w:hAnsi="宋体" w:eastAsia="仿宋_GB2312" w:cs="仿宋_GB2312"/>
          <w:color w:val="000000"/>
          <w:kern w:val="0"/>
          <w:sz w:val="32"/>
          <w:szCs w:val="32"/>
          <w:lang w:val="en-US" w:eastAsia="zh-CN"/>
        </w:rPr>
        <w:t>年，我镇按照《中华人民共和国政府信息公开条例》有关要求，在县委、县政府的指导下，根据国家、省市关于政府信息公开相关文件的精神，逐步完善各项政府信息公开工作制度，严格执行新修订的政府信息公开条例，并围绕市、县政府对政务信息公开工作的有关要求，遵循公正、公平、合法、便民的原则，认真落实政府信息公开有关工作，及时、准确地公开政府信息。202</w:t>
      </w:r>
      <w:r>
        <w:rPr>
          <w:rFonts w:hint="eastAsia" w:ascii="仿宋_GB2312" w:hAnsi="宋体" w:eastAsia="仿宋_GB2312" w:cs="仿宋_GB2312"/>
          <w:color w:val="000000"/>
          <w:kern w:val="0"/>
          <w:sz w:val="32"/>
          <w:szCs w:val="32"/>
          <w:lang w:val="en-US" w:eastAsia="zh-CN"/>
        </w:rPr>
        <w:t>4</w:t>
      </w:r>
      <w:r>
        <w:rPr>
          <w:rFonts w:ascii="仿宋_GB2312" w:hAnsi="宋体" w:eastAsia="仿宋_GB2312" w:cs="仿宋_GB2312"/>
          <w:color w:val="000000"/>
          <w:kern w:val="0"/>
          <w:sz w:val="32"/>
          <w:szCs w:val="32"/>
          <w:lang w:val="en-US" w:eastAsia="zh-CN"/>
        </w:rPr>
        <w:t>年，安溪县西坪镇人民政府主动公开政府信息</w:t>
      </w:r>
      <w:r>
        <w:rPr>
          <w:rFonts w:hint="eastAsia" w:ascii="仿宋_GB2312" w:hAnsi="宋体" w:eastAsia="仿宋_GB2312" w:cs="仿宋_GB2312"/>
          <w:color w:val="000000"/>
          <w:kern w:val="0"/>
          <w:sz w:val="32"/>
          <w:szCs w:val="32"/>
          <w:lang w:val="en-US" w:eastAsia="zh-CN"/>
        </w:rPr>
        <w:t>20</w:t>
      </w:r>
      <w:r>
        <w:rPr>
          <w:rFonts w:ascii="仿宋_GB2312" w:hAnsi="宋体" w:eastAsia="仿宋_GB2312" w:cs="仿宋_GB2312"/>
          <w:color w:val="000000"/>
          <w:kern w:val="0"/>
          <w:sz w:val="32"/>
          <w:szCs w:val="32"/>
          <w:lang w:val="en-US" w:eastAsia="zh-CN"/>
        </w:rPr>
        <w:t>条，全文电子化率100%。</w:t>
      </w:r>
    </w:p>
    <w:p w14:paraId="1E4EABDB">
      <w:pPr>
        <w:keepNext w:val="0"/>
        <w:keepLines w:val="0"/>
        <w:widowControl/>
        <w:suppressLineNumbers w:val="0"/>
        <w:ind w:firstLine="643" w:firstLineChars="200"/>
        <w:jc w:val="both"/>
        <w:rPr>
          <w:rFonts w:hint="eastAsia" w:ascii="仿宋_GB2312" w:hAnsi="宋体" w:eastAsia="仿宋_GB2312" w:cs="仿宋_GB2312"/>
          <w:color w:val="000000"/>
          <w:kern w:val="0"/>
          <w:sz w:val="32"/>
          <w:szCs w:val="32"/>
          <w:lang w:val="en-US" w:eastAsia="zh-CN"/>
        </w:rPr>
      </w:pPr>
      <w:r>
        <w:rPr>
          <w:rFonts w:hint="eastAsia" w:ascii="楷体_GB2312" w:hAnsi="楷体_GB2312" w:eastAsia="楷体_GB2312" w:cs="楷体_GB2312"/>
          <w:b/>
          <w:bCs/>
          <w:i w:val="0"/>
          <w:iCs w:val="0"/>
          <w:caps w:val="0"/>
          <w:color w:val="000000"/>
          <w:spacing w:val="0"/>
          <w:kern w:val="0"/>
          <w:sz w:val="32"/>
          <w:szCs w:val="32"/>
          <w:lang w:val="en-US" w:eastAsia="zh-CN" w:bidi="ar"/>
        </w:rPr>
        <w:t>（一）主动公开方面。</w:t>
      </w:r>
      <w:r>
        <w:rPr>
          <w:rFonts w:hint="eastAsia" w:ascii="仿宋_GB2312" w:hAnsi="宋体" w:eastAsia="仿宋_GB2312" w:cs="仿宋_GB2312"/>
          <w:color w:val="000000"/>
          <w:kern w:val="0"/>
          <w:sz w:val="32"/>
          <w:szCs w:val="32"/>
          <w:lang w:val="en-US" w:eastAsia="zh-CN"/>
        </w:rPr>
        <w:t>2024年，按照上级部门指示同时结合我镇实际，坚持以公开为常态、不公开为例外，遵循公正、公平、合法、便民的原则，在政务公开网站公开各类政府信息，内容包括政策解读、回应关切、自然资源领域、社会救助等，公开的内容切实符合公众的需要，便于公众及时了解信息，办理相关事项。</w:t>
      </w:r>
    </w:p>
    <w:p w14:paraId="4D2FECF4">
      <w:pPr>
        <w:keepNext w:val="0"/>
        <w:keepLines w:val="0"/>
        <w:widowControl/>
        <w:suppressLineNumbers w:val="0"/>
        <w:ind w:firstLine="643" w:firstLineChars="200"/>
        <w:jc w:val="both"/>
        <w:rPr>
          <w:rFonts w:hint="eastAsia" w:ascii="仿宋_GB2312" w:hAnsi="宋体" w:eastAsia="仿宋_GB2312" w:cs="仿宋_GB2312"/>
          <w:color w:val="000000"/>
          <w:kern w:val="0"/>
          <w:sz w:val="32"/>
          <w:szCs w:val="32"/>
          <w:lang w:val="en-US" w:eastAsia="zh-CN"/>
        </w:rPr>
      </w:pPr>
      <w:r>
        <w:rPr>
          <w:rFonts w:hint="eastAsia" w:ascii="楷体_GB2312" w:hAnsi="楷体_GB2312" w:eastAsia="楷体_GB2312" w:cs="楷体_GB2312"/>
          <w:b/>
          <w:bCs/>
          <w:i w:val="0"/>
          <w:iCs w:val="0"/>
          <w:caps w:val="0"/>
          <w:color w:val="000000"/>
          <w:spacing w:val="0"/>
          <w:kern w:val="0"/>
          <w:sz w:val="32"/>
          <w:szCs w:val="32"/>
          <w:lang w:val="en-US" w:eastAsia="zh-CN" w:bidi="ar"/>
        </w:rPr>
        <w:t>（二）依申请公开方面。</w:t>
      </w:r>
      <w:r>
        <w:rPr>
          <w:rFonts w:hint="eastAsia" w:ascii="仿宋_GB2312" w:hAnsi="宋体" w:eastAsia="仿宋_GB2312" w:cs="仿宋_GB2312"/>
          <w:color w:val="000000"/>
          <w:kern w:val="0"/>
          <w:sz w:val="32"/>
          <w:szCs w:val="32"/>
          <w:lang w:val="en-US" w:eastAsia="zh-CN"/>
        </w:rPr>
        <w:t>严格按照有关规定，进一步完善依申请公开制度，优化和规范办理流程，拓宽申请渠道，满足群众公开信息申请诉求。本年度未收到依申请公开事项。</w:t>
      </w:r>
    </w:p>
    <w:p w14:paraId="51F55C22">
      <w:pPr>
        <w:keepNext w:val="0"/>
        <w:keepLines w:val="0"/>
        <w:widowControl/>
        <w:suppressLineNumbers w:val="0"/>
        <w:ind w:firstLine="643" w:firstLineChars="200"/>
        <w:jc w:val="both"/>
        <w:rPr>
          <w:rFonts w:hint="eastAsia" w:ascii="仿宋_GB2312" w:hAnsi="宋体" w:eastAsia="仿宋_GB2312" w:cs="仿宋_GB2312"/>
          <w:color w:val="000000"/>
          <w:kern w:val="0"/>
          <w:sz w:val="32"/>
          <w:szCs w:val="32"/>
          <w:lang w:val="en-US" w:eastAsia="zh-CN"/>
        </w:rPr>
      </w:pPr>
      <w:r>
        <w:rPr>
          <w:rFonts w:hint="eastAsia" w:ascii="楷体_GB2312" w:hAnsi="楷体_GB2312" w:eastAsia="楷体_GB2312" w:cs="楷体_GB2312"/>
          <w:b/>
          <w:bCs/>
          <w:i w:val="0"/>
          <w:iCs w:val="0"/>
          <w:caps w:val="0"/>
          <w:color w:val="000000"/>
          <w:spacing w:val="0"/>
          <w:kern w:val="0"/>
          <w:sz w:val="32"/>
          <w:szCs w:val="32"/>
          <w:lang w:val="en-US" w:eastAsia="zh-CN" w:bidi="ar"/>
        </w:rPr>
        <w:t>（三）政府信息管理方面。</w:t>
      </w:r>
      <w:r>
        <w:rPr>
          <w:rFonts w:hint="eastAsia" w:ascii="仿宋_GB2312" w:hAnsi="宋体" w:eastAsia="仿宋_GB2312" w:cs="仿宋_GB2312"/>
          <w:color w:val="000000"/>
          <w:kern w:val="0"/>
          <w:sz w:val="32"/>
          <w:szCs w:val="32"/>
          <w:lang w:val="en-US" w:eastAsia="zh-CN"/>
        </w:rPr>
        <w:t>统一由党政办牵头负责，各部门协调配合，具体工作落实到个人。严格落实信息公开审核制度，做好审核发布工作，认真梳理公开信息内容，确保信息公开全面，不出现错别字、违规内容。注重信息公开的时效性，及时更新完善政务公开内容。</w:t>
      </w:r>
    </w:p>
    <w:p w14:paraId="40ED9DC3">
      <w:pPr>
        <w:keepNext w:val="0"/>
        <w:keepLines w:val="0"/>
        <w:widowControl/>
        <w:suppressLineNumbers w:val="0"/>
        <w:ind w:firstLine="643" w:firstLineChars="200"/>
        <w:jc w:val="both"/>
        <w:rPr>
          <w:rFonts w:hint="eastAsia" w:ascii="仿宋_GB2312" w:hAnsi="宋体" w:eastAsia="仿宋_GB2312" w:cs="仿宋_GB2312"/>
          <w:color w:val="000000"/>
          <w:kern w:val="0"/>
          <w:sz w:val="32"/>
          <w:szCs w:val="32"/>
          <w:lang w:val="en-US" w:eastAsia="zh-CN"/>
        </w:rPr>
      </w:pPr>
      <w:r>
        <w:rPr>
          <w:rFonts w:hint="eastAsia" w:ascii="楷体_GB2312" w:hAnsi="楷体_GB2312" w:eastAsia="楷体_GB2312" w:cs="楷体_GB2312"/>
          <w:b/>
          <w:bCs/>
          <w:i w:val="0"/>
          <w:iCs w:val="0"/>
          <w:caps w:val="0"/>
          <w:color w:val="000000"/>
          <w:spacing w:val="0"/>
          <w:kern w:val="0"/>
          <w:sz w:val="32"/>
          <w:szCs w:val="32"/>
          <w:lang w:val="en-US" w:eastAsia="zh-CN" w:bidi="ar"/>
        </w:rPr>
        <w:t>（四）平台建设方面。</w:t>
      </w:r>
      <w:r>
        <w:rPr>
          <w:rFonts w:hint="eastAsia" w:ascii="仿宋_GB2312" w:hAnsi="宋体" w:eastAsia="仿宋_GB2312" w:cs="仿宋_GB2312"/>
          <w:color w:val="000000"/>
          <w:kern w:val="0"/>
          <w:sz w:val="32"/>
          <w:szCs w:val="32"/>
          <w:lang w:val="en-US" w:eastAsia="zh-CN"/>
        </w:rPr>
        <w:t>通过政府网站、</w:t>
      </w:r>
      <w:r>
        <w:rPr>
          <w:rFonts w:hint="default" w:ascii="仿宋_GB2312" w:hAnsi="宋体" w:eastAsia="仿宋_GB2312" w:cs="仿宋_GB2312"/>
          <w:color w:val="000000"/>
          <w:kern w:val="0"/>
          <w:sz w:val="32"/>
          <w:szCs w:val="32"/>
          <w:lang w:val="en-US" w:eastAsia="zh-CN"/>
        </w:rPr>
        <w:t>政务公开栏等渠道规范政府信息发布，形成线上线下相配合的政府信息公开多元化平台，及时通过各种渠道公开政府信息，切实强化政府工作透明度，有效提升政府公共服务能力。积极对接上级，做好泉州市政府网站群后台信息发布系统的切换使用，日常信息发布使用事前监管平台进行信息发布检测</w:t>
      </w:r>
      <w:r>
        <w:rPr>
          <w:rFonts w:hint="eastAsia" w:ascii="仿宋_GB2312" w:hAnsi="宋体" w:eastAsia="仿宋_GB2312" w:cs="仿宋_GB2312"/>
          <w:color w:val="000000"/>
          <w:kern w:val="0"/>
          <w:sz w:val="32"/>
          <w:szCs w:val="32"/>
          <w:lang w:val="en-US" w:eastAsia="zh-CN"/>
        </w:rPr>
        <w:t>。</w:t>
      </w:r>
    </w:p>
    <w:p w14:paraId="15F145EB">
      <w:pPr>
        <w:widowControl/>
        <w:spacing w:line="560" w:lineRule="exact"/>
        <w:ind w:firstLine="643" w:firstLineChars="200"/>
        <w:jc w:val="both"/>
        <w:rPr>
          <w:rFonts w:hint="eastAsia" w:ascii="仿宋_GB2312" w:hAnsi="宋体" w:eastAsia="仿宋_GB2312" w:cs="仿宋_GB2312"/>
          <w:color w:val="000000"/>
          <w:kern w:val="0"/>
          <w:sz w:val="32"/>
          <w:szCs w:val="32"/>
          <w:lang w:val="en-US" w:eastAsia="zh-CN"/>
        </w:rPr>
      </w:pPr>
      <w:r>
        <w:rPr>
          <w:rFonts w:hint="eastAsia" w:ascii="楷体_GB2312" w:hAnsi="楷体_GB2312" w:eastAsia="楷体_GB2312" w:cs="楷体_GB2312"/>
          <w:b/>
          <w:bCs/>
          <w:i w:val="0"/>
          <w:iCs w:val="0"/>
          <w:caps w:val="0"/>
          <w:color w:val="000000"/>
          <w:spacing w:val="0"/>
          <w:kern w:val="0"/>
          <w:sz w:val="32"/>
          <w:szCs w:val="32"/>
          <w:lang w:val="en-US" w:eastAsia="zh-CN" w:bidi="ar"/>
        </w:rPr>
        <w:t>（五）监督保障方面。</w:t>
      </w:r>
      <w:r>
        <w:rPr>
          <w:rFonts w:hint="eastAsia" w:ascii="仿宋_GB2312" w:hAnsi="宋体" w:eastAsia="仿宋_GB2312" w:cs="仿宋_GB2312"/>
          <w:color w:val="000000"/>
          <w:kern w:val="0"/>
          <w:sz w:val="32"/>
          <w:szCs w:val="32"/>
          <w:lang w:val="en-US" w:eastAsia="zh-CN"/>
        </w:rPr>
        <w:t xml:space="preserve">坚持信息发布“分级审核、先审后发”，形成主要领导负总责、分管领导直接抓、业务科室具体办的工作合力。强化内部审查机制，对拟公开的政府信息严格审查，确保信息的准确性、合法性。严格落实信息发布“三审三校”制度，扎实推进政府信息公开工作制度化、规范化。 </w:t>
      </w:r>
    </w:p>
    <w:p w14:paraId="024A03F1">
      <w:pPr>
        <w:widowControl/>
        <w:spacing w:line="560" w:lineRule="exact"/>
        <w:ind w:firstLine="640" w:firstLineChars="200"/>
        <w:jc w:val="left"/>
        <w:rPr>
          <w:rFonts w:ascii="宋体" w:cs="Times New Roman"/>
          <w:color w:val="000000"/>
          <w:sz w:val="24"/>
          <w:szCs w:val="24"/>
        </w:rPr>
      </w:pPr>
      <w:r>
        <w:rPr>
          <w:rFonts w:hint="eastAsia" w:ascii="黑体" w:hAnsi="宋体" w:eastAsia="黑体" w:cs="黑体"/>
          <w:color w:val="000000"/>
          <w:kern w:val="0"/>
          <w:sz w:val="32"/>
          <w:szCs w:val="32"/>
        </w:rPr>
        <w:t>二、主动公开政府信息情况</w:t>
      </w:r>
    </w:p>
    <w:tbl>
      <w:tblPr>
        <w:tblStyle w:val="5"/>
        <w:tblW w:w="8426" w:type="dxa"/>
        <w:tblInd w:w="-1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03"/>
        <w:gridCol w:w="2103"/>
        <w:gridCol w:w="2103"/>
        <w:gridCol w:w="2117"/>
      </w:tblGrid>
      <w:tr w14:paraId="28BCF6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14:paraId="4D5D6432">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第二十条第（一）项</w:t>
            </w:r>
          </w:p>
        </w:tc>
      </w:tr>
      <w:tr w14:paraId="78C9A3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54BC17BB">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2103"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0B8C8B12">
            <w:pPr>
              <w:pStyle w:val="4"/>
              <w:widowControl/>
              <w:spacing w:beforeAutospacing="0" w:afterAutospacing="0" w:line="560" w:lineRule="exact"/>
              <w:jc w:val="center"/>
              <w:textAlignment w:val="top"/>
              <w:rPr>
                <w:rFonts w:ascii="宋体" w:cs="Times New Roman"/>
              </w:rPr>
            </w:pPr>
            <w:r>
              <w:rPr>
                <w:rFonts w:hint="eastAsia" w:ascii="宋体" w:hAnsi="宋体" w:cs="宋体"/>
              </w:rPr>
              <w:t>本年制发件数</w:t>
            </w:r>
          </w:p>
        </w:tc>
        <w:tc>
          <w:tcPr>
            <w:tcW w:w="2103"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4D3E68EB">
            <w:pPr>
              <w:pStyle w:val="4"/>
              <w:widowControl/>
              <w:spacing w:beforeAutospacing="0" w:afterAutospacing="0" w:line="560" w:lineRule="exact"/>
              <w:jc w:val="center"/>
              <w:textAlignment w:val="top"/>
              <w:rPr>
                <w:rFonts w:ascii="宋体" w:cs="Times New Roman"/>
              </w:rPr>
            </w:pPr>
            <w:r>
              <w:rPr>
                <w:rFonts w:hint="eastAsia" w:ascii="宋体" w:hAnsi="宋体" w:cs="宋体"/>
              </w:rPr>
              <w:t>本年废止件数</w:t>
            </w:r>
          </w:p>
        </w:tc>
        <w:tc>
          <w:tcPr>
            <w:tcW w:w="2117"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4C7583F8">
            <w:pPr>
              <w:pStyle w:val="4"/>
              <w:widowControl/>
              <w:spacing w:beforeAutospacing="0" w:afterAutospacing="0" w:line="560" w:lineRule="exact"/>
              <w:jc w:val="center"/>
              <w:textAlignment w:val="top"/>
              <w:rPr>
                <w:rFonts w:ascii="宋体" w:cs="Times New Roman"/>
              </w:rPr>
            </w:pPr>
            <w:r>
              <w:rPr>
                <w:rFonts w:hint="eastAsia" w:ascii="宋体" w:hAnsi="宋体" w:cs="宋体"/>
              </w:rPr>
              <w:t>现行有效件数</w:t>
            </w:r>
          </w:p>
        </w:tc>
      </w:tr>
      <w:tr w14:paraId="6F6DAF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6B87C2AD">
            <w:pPr>
              <w:pStyle w:val="4"/>
              <w:widowControl/>
              <w:spacing w:beforeAutospacing="0" w:afterAutospacing="0" w:line="560" w:lineRule="exact"/>
              <w:jc w:val="center"/>
              <w:textAlignment w:val="top"/>
              <w:rPr>
                <w:rFonts w:ascii="宋体" w:cs="Times New Roman"/>
              </w:rPr>
            </w:pPr>
            <w:r>
              <w:rPr>
                <w:rFonts w:hint="eastAsia" w:ascii="宋体" w:hAnsi="宋体" w:cs="宋体"/>
              </w:rPr>
              <w:t>规章</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14:paraId="44F7716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14:paraId="4870DE4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2117" w:type="dxa"/>
            <w:tcBorders>
              <w:top w:val="nil"/>
              <w:left w:val="nil"/>
              <w:bottom w:val="single" w:color="auto" w:sz="8" w:space="0"/>
              <w:right w:val="single" w:color="auto" w:sz="8" w:space="0"/>
            </w:tcBorders>
            <w:tcMar>
              <w:top w:w="0" w:type="dxa"/>
              <w:left w:w="60" w:type="dxa"/>
              <w:bottom w:w="0" w:type="dxa"/>
              <w:right w:w="60" w:type="dxa"/>
            </w:tcMar>
          </w:tcPr>
          <w:p w14:paraId="0859E9B2">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327780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5E7E8834">
            <w:pPr>
              <w:pStyle w:val="4"/>
              <w:widowControl/>
              <w:spacing w:beforeAutospacing="0" w:afterAutospacing="0" w:line="560" w:lineRule="exact"/>
              <w:textAlignment w:val="top"/>
              <w:rPr>
                <w:rFonts w:ascii="宋体" w:cs="Times New Roman"/>
              </w:rPr>
            </w:pPr>
            <w:r>
              <w:rPr>
                <w:rFonts w:hint="eastAsia" w:ascii="宋体" w:hAnsi="宋体" w:cs="宋体"/>
              </w:rPr>
              <w:t>行政规范性文件</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14:paraId="0854856A">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0</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14:paraId="4E1DABF5">
            <w:pPr>
              <w:widowControl/>
              <w:spacing w:line="560" w:lineRule="exact"/>
              <w:jc w:val="center"/>
              <w:textAlignment w:val="top"/>
              <w:rPr>
                <w:rFonts w:hint="default" w:ascii="宋体" w:eastAsia="宋体" w:cs="Times New Roman"/>
                <w:sz w:val="24"/>
                <w:szCs w:val="24"/>
                <w:lang w:val="en-US" w:eastAsia="zh-CN"/>
              </w:rPr>
            </w:pPr>
            <w:r>
              <w:rPr>
                <w:rFonts w:hint="eastAsia" w:ascii="宋体" w:cs="Times New Roman"/>
                <w:sz w:val="24"/>
                <w:szCs w:val="24"/>
                <w:lang w:val="en-US" w:eastAsia="zh-CN"/>
              </w:rPr>
              <w:t>0</w:t>
            </w:r>
          </w:p>
        </w:tc>
        <w:tc>
          <w:tcPr>
            <w:tcW w:w="2117" w:type="dxa"/>
            <w:tcBorders>
              <w:top w:val="nil"/>
              <w:left w:val="nil"/>
              <w:bottom w:val="single" w:color="auto" w:sz="8" w:space="0"/>
              <w:right w:val="single" w:color="auto" w:sz="8" w:space="0"/>
            </w:tcBorders>
            <w:tcMar>
              <w:top w:w="0" w:type="dxa"/>
              <w:left w:w="60" w:type="dxa"/>
              <w:bottom w:w="0" w:type="dxa"/>
              <w:right w:w="60" w:type="dxa"/>
            </w:tcMar>
          </w:tcPr>
          <w:p w14:paraId="44769210">
            <w:pPr>
              <w:widowControl/>
              <w:spacing w:line="560" w:lineRule="exact"/>
              <w:jc w:val="center"/>
              <w:textAlignment w:val="top"/>
              <w:rPr>
                <w:rFonts w:hint="default" w:ascii="宋体" w:eastAsia="宋体" w:cs="Times New Roman"/>
                <w:sz w:val="24"/>
                <w:szCs w:val="24"/>
                <w:lang w:val="en-US" w:eastAsia="zh-CN"/>
              </w:rPr>
            </w:pPr>
            <w:r>
              <w:rPr>
                <w:rFonts w:hint="eastAsia" w:ascii="宋体" w:cs="Times New Roman"/>
                <w:sz w:val="24"/>
                <w:szCs w:val="24"/>
                <w:lang w:val="en-US" w:eastAsia="zh-CN"/>
              </w:rPr>
              <w:t>0</w:t>
            </w:r>
          </w:p>
        </w:tc>
      </w:tr>
      <w:tr w14:paraId="4BA3D7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nil"/>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14:paraId="33B22CCB">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第二十条第（五）项</w:t>
            </w:r>
          </w:p>
        </w:tc>
      </w:tr>
      <w:tr w14:paraId="371BB1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6D790CD1">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14:paraId="74F1624D">
            <w:pPr>
              <w:pStyle w:val="4"/>
              <w:widowControl/>
              <w:spacing w:beforeAutospacing="0" w:afterAutospacing="0" w:line="560" w:lineRule="exact"/>
              <w:jc w:val="center"/>
              <w:textAlignment w:val="top"/>
              <w:rPr>
                <w:rFonts w:ascii="宋体" w:cs="Times New Roman"/>
              </w:rPr>
            </w:pPr>
            <w:r>
              <w:rPr>
                <w:rFonts w:hint="eastAsia" w:ascii="宋体" w:hAnsi="宋体" w:cs="宋体"/>
              </w:rPr>
              <w:t>本年处理决定数量</w:t>
            </w:r>
          </w:p>
        </w:tc>
      </w:tr>
      <w:tr w14:paraId="31832B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1E19FC0A">
            <w:pPr>
              <w:pStyle w:val="4"/>
              <w:widowControl/>
              <w:spacing w:beforeAutospacing="0" w:afterAutospacing="0" w:line="560" w:lineRule="exact"/>
              <w:textAlignment w:val="top"/>
              <w:rPr>
                <w:rFonts w:ascii="宋体" w:cs="Times New Roman"/>
              </w:rPr>
            </w:pPr>
            <w:r>
              <w:rPr>
                <w:rFonts w:hint="eastAsia" w:ascii="宋体" w:hAnsi="宋体" w:cs="宋体"/>
              </w:rPr>
              <w:t>行政许可</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14:paraId="534FABCB">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0DD0E5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nil"/>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14:paraId="7F59D3DB">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第二十条第（六）项</w:t>
            </w:r>
          </w:p>
        </w:tc>
      </w:tr>
      <w:tr w14:paraId="0AE124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66B2C426">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6323" w:type="dxa"/>
            <w:gridSpan w:val="3"/>
            <w:tcBorders>
              <w:top w:val="single" w:color="auto" w:sz="8" w:space="0"/>
              <w:left w:val="nil"/>
              <w:bottom w:val="single" w:color="auto" w:sz="8" w:space="0"/>
              <w:right w:val="single" w:color="auto" w:sz="8" w:space="0"/>
            </w:tcBorders>
            <w:tcMar>
              <w:top w:w="0" w:type="dxa"/>
              <w:left w:w="60" w:type="dxa"/>
              <w:bottom w:w="0" w:type="dxa"/>
              <w:right w:w="60" w:type="dxa"/>
            </w:tcMar>
          </w:tcPr>
          <w:p w14:paraId="01AAF153">
            <w:pPr>
              <w:pStyle w:val="4"/>
              <w:widowControl/>
              <w:spacing w:beforeAutospacing="0" w:afterAutospacing="0" w:line="560" w:lineRule="exact"/>
              <w:jc w:val="center"/>
              <w:textAlignment w:val="top"/>
              <w:rPr>
                <w:rFonts w:ascii="宋体" w:cs="Times New Roman"/>
              </w:rPr>
            </w:pPr>
            <w:r>
              <w:rPr>
                <w:rFonts w:hint="eastAsia" w:ascii="宋体" w:hAnsi="宋体" w:cs="宋体"/>
              </w:rPr>
              <w:t>本年处理决定数量</w:t>
            </w:r>
          </w:p>
        </w:tc>
      </w:tr>
      <w:tr w14:paraId="4A5A6C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7C49803A">
            <w:pPr>
              <w:pStyle w:val="4"/>
              <w:widowControl/>
              <w:spacing w:beforeAutospacing="0" w:afterAutospacing="0" w:line="560" w:lineRule="exact"/>
              <w:textAlignment w:val="top"/>
              <w:rPr>
                <w:rFonts w:ascii="宋体" w:cs="Times New Roman"/>
              </w:rPr>
            </w:pPr>
            <w:r>
              <w:rPr>
                <w:rFonts w:hint="eastAsia" w:ascii="宋体" w:hAnsi="宋体" w:cs="宋体"/>
              </w:rPr>
              <w:t>行政处罚</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14:paraId="7F61B646">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7D92AA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080B8FA7">
            <w:pPr>
              <w:pStyle w:val="4"/>
              <w:widowControl/>
              <w:spacing w:beforeAutospacing="0" w:afterAutospacing="0" w:line="560" w:lineRule="exact"/>
              <w:textAlignment w:val="top"/>
              <w:rPr>
                <w:rFonts w:ascii="宋体" w:cs="Times New Roman"/>
              </w:rPr>
            </w:pPr>
            <w:r>
              <w:rPr>
                <w:rFonts w:hint="eastAsia" w:ascii="宋体" w:hAnsi="宋体" w:cs="宋体"/>
              </w:rPr>
              <w:t>行政强制</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14:paraId="001C3A0C">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2A306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nil"/>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14:paraId="07FE94DF">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第二十条第（八）项</w:t>
            </w:r>
          </w:p>
        </w:tc>
      </w:tr>
      <w:tr w14:paraId="1D88B0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5E649E2D">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6323" w:type="dxa"/>
            <w:gridSpan w:val="3"/>
            <w:tcBorders>
              <w:top w:val="nil"/>
              <w:left w:val="nil"/>
              <w:bottom w:val="single" w:color="auto" w:sz="8" w:space="0"/>
              <w:right w:val="single" w:color="000000" w:sz="8" w:space="0"/>
            </w:tcBorders>
            <w:tcMar>
              <w:top w:w="0" w:type="dxa"/>
              <w:left w:w="60" w:type="dxa"/>
              <w:bottom w:w="0" w:type="dxa"/>
              <w:right w:w="60" w:type="dxa"/>
            </w:tcMar>
          </w:tcPr>
          <w:p w14:paraId="7D33E61E">
            <w:pPr>
              <w:pStyle w:val="4"/>
              <w:widowControl/>
              <w:spacing w:beforeAutospacing="0" w:afterAutospacing="0" w:line="560" w:lineRule="exact"/>
              <w:jc w:val="center"/>
              <w:textAlignment w:val="top"/>
              <w:rPr>
                <w:rFonts w:ascii="宋体" w:cs="Times New Roman"/>
              </w:rPr>
            </w:pPr>
            <w:r>
              <w:rPr>
                <w:rFonts w:hint="eastAsia" w:ascii="宋体" w:hAnsi="宋体" w:cs="宋体"/>
              </w:rPr>
              <w:t>本年收费金额（单位：万元）</w:t>
            </w:r>
          </w:p>
        </w:tc>
      </w:tr>
      <w:tr w14:paraId="0FE857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40289147">
            <w:pPr>
              <w:pStyle w:val="4"/>
              <w:widowControl/>
              <w:spacing w:beforeAutospacing="0" w:afterAutospacing="0" w:line="560" w:lineRule="exact"/>
              <w:textAlignment w:val="top"/>
              <w:rPr>
                <w:rFonts w:ascii="宋体" w:cs="Times New Roman"/>
              </w:rPr>
            </w:pPr>
            <w:r>
              <w:rPr>
                <w:rFonts w:hint="eastAsia" w:ascii="宋体" w:hAnsi="宋体" w:cs="宋体"/>
              </w:rPr>
              <w:t>行政事业性收费</w:t>
            </w:r>
          </w:p>
        </w:tc>
        <w:tc>
          <w:tcPr>
            <w:tcW w:w="6323" w:type="dxa"/>
            <w:gridSpan w:val="3"/>
            <w:tcBorders>
              <w:top w:val="nil"/>
              <w:left w:val="nil"/>
              <w:bottom w:val="single" w:color="auto" w:sz="8" w:space="0"/>
              <w:right w:val="single" w:color="000000" w:sz="8" w:space="0"/>
            </w:tcBorders>
            <w:tcMar>
              <w:top w:w="0" w:type="dxa"/>
              <w:left w:w="60" w:type="dxa"/>
              <w:bottom w:w="0" w:type="dxa"/>
              <w:right w:w="60" w:type="dxa"/>
            </w:tcMar>
          </w:tcPr>
          <w:p w14:paraId="59EEF641">
            <w:pPr>
              <w:widowControl/>
              <w:spacing w:line="560" w:lineRule="exact"/>
              <w:jc w:val="center"/>
              <w:textAlignment w:val="top"/>
              <w:rPr>
                <w:rFonts w:hint="default" w:ascii="宋体" w:eastAsia="宋体" w:cs="Times New Roman"/>
                <w:sz w:val="24"/>
                <w:szCs w:val="24"/>
                <w:lang w:val="en-US" w:eastAsia="zh-CN"/>
              </w:rPr>
            </w:pPr>
            <w:r>
              <w:rPr>
                <w:rFonts w:hint="eastAsia" w:ascii="宋体" w:cs="宋体"/>
                <w:kern w:val="0"/>
                <w:sz w:val="24"/>
                <w:szCs w:val="24"/>
                <w:lang w:val="en-US" w:eastAsia="zh-CN"/>
              </w:rPr>
              <w:t>0</w:t>
            </w:r>
          </w:p>
        </w:tc>
      </w:tr>
    </w:tbl>
    <w:p w14:paraId="4E4BF01D">
      <w:pPr>
        <w:pStyle w:val="4"/>
        <w:widowControl/>
        <w:spacing w:beforeAutospacing="0" w:afterAutospacing="0" w:line="560" w:lineRule="exact"/>
        <w:ind w:firstLine="640" w:firstLineChars="200"/>
        <w:jc w:val="both"/>
        <w:textAlignment w:val="top"/>
        <w:rPr>
          <w:rFonts w:ascii="宋体" w:cs="Times New Roman"/>
          <w:color w:val="000000"/>
        </w:rPr>
      </w:pPr>
      <w:r>
        <w:rPr>
          <w:rFonts w:hint="eastAsia" w:ascii="黑体" w:hAnsi="宋体" w:eastAsia="黑体" w:cs="黑体"/>
          <w:color w:val="000000"/>
          <w:sz w:val="32"/>
          <w:szCs w:val="32"/>
        </w:rPr>
        <w:t>三、收到和处理政府信息公开申请情况</w:t>
      </w:r>
    </w:p>
    <w:tbl>
      <w:tblPr>
        <w:tblStyle w:val="5"/>
        <w:tblW w:w="856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00"/>
        <w:gridCol w:w="907"/>
        <w:gridCol w:w="2297"/>
        <w:gridCol w:w="517"/>
        <w:gridCol w:w="870"/>
        <w:gridCol w:w="780"/>
        <w:gridCol w:w="561"/>
        <w:gridCol w:w="561"/>
        <w:gridCol w:w="562"/>
        <w:gridCol w:w="908"/>
      </w:tblGrid>
      <w:tr w14:paraId="2851D8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04" w:type="dxa"/>
            <w:gridSpan w:val="3"/>
            <w:vMerge w:val="restart"/>
            <w:tcBorders>
              <w:top w:val="single" w:color="auto" w:sz="8" w:space="0"/>
              <w:left w:val="single" w:color="auto" w:sz="8" w:space="0"/>
              <w:bottom w:val="outset" w:color="auto" w:sz="8" w:space="0"/>
              <w:right w:val="single" w:color="auto" w:sz="8" w:space="0"/>
            </w:tcBorders>
            <w:tcMar>
              <w:top w:w="0" w:type="dxa"/>
              <w:left w:w="105" w:type="dxa"/>
              <w:bottom w:w="0" w:type="dxa"/>
              <w:right w:w="105" w:type="dxa"/>
            </w:tcMar>
          </w:tcPr>
          <w:p w14:paraId="57469D15">
            <w:pPr>
              <w:pStyle w:val="4"/>
              <w:widowControl/>
              <w:spacing w:beforeAutospacing="0" w:afterAutospacing="0" w:line="560" w:lineRule="exact"/>
              <w:textAlignment w:val="top"/>
              <w:rPr>
                <w:rFonts w:ascii="宋体" w:cs="Times New Roman"/>
              </w:rPr>
            </w:pPr>
            <w:r>
              <w:rPr>
                <w:rFonts w:hint="eastAsia" w:ascii="宋体" w:hAnsi="宋体" w:cs="宋体"/>
              </w:rPr>
              <w:t>（本列数据的勾稽关系为：第一项加第二项之和，等于第三项加第四项之和）</w:t>
            </w:r>
          </w:p>
        </w:tc>
        <w:tc>
          <w:tcPr>
            <w:tcW w:w="4759" w:type="dxa"/>
            <w:gridSpan w:val="7"/>
            <w:tcBorders>
              <w:top w:val="single" w:color="auto" w:sz="8" w:space="0"/>
              <w:left w:val="nil"/>
              <w:bottom w:val="single" w:color="auto" w:sz="8" w:space="0"/>
              <w:right w:val="single" w:color="auto" w:sz="8" w:space="0"/>
            </w:tcBorders>
            <w:tcMar>
              <w:top w:w="0" w:type="dxa"/>
              <w:left w:w="60" w:type="dxa"/>
              <w:bottom w:w="0" w:type="dxa"/>
              <w:right w:w="60" w:type="dxa"/>
            </w:tcMar>
          </w:tcPr>
          <w:p w14:paraId="3F9F455F">
            <w:pPr>
              <w:pStyle w:val="4"/>
              <w:widowControl/>
              <w:spacing w:beforeAutospacing="0" w:afterAutospacing="0" w:line="560" w:lineRule="exact"/>
              <w:jc w:val="center"/>
              <w:textAlignment w:val="top"/>
              <w:rPr>
                <w:rFonts w:ascii="宋体" w:cs="Times New Roman"/>
              </w:rPr>
            </w:pPr>
            <w:r>
              <w:rPr>
                <w:rFonts w:hint="eastAsia" w:ascii="宋体" w:hAnsi="宋体" w:cs="宋体"/>
              </w:rPr>
              <w:t>申请人情况</w:t>
            </w:r>
          </w:p>
        </w:tc>
      </w:tr>
      <w:tr w14:paraId="08417F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04" w:type="dxa"/>
            <w:gridSpan w:val="3"/>
            <w:vMerge w:val="continue"/>
            <w:tcBorders>
              <w:top w:val="single" w:color="auto" w:sz="8" w:space="0"/>
              <w:left w:val="single" w:color="auto" w:sz="8" w:space="0"/>
              <w:bottom w:val="outset" w:color="auto" w:sz="8" w:space="0"/>
              <w:right w:val="single" w:color="auto" w:sz="8" w:space="0"/>
            </w:tcBorders>
          </w:tcPr>
          <w:p w14:paraId="6529A677">
            <w:pPr>
              <w:widowControl/>
              <w:spacing w:line="560" w:lineRule="exact"/>
              <w:rPr>
                <w:rFonts w:ascii="宋体" w:cs="Times New Roman"/>
                <w:sz w:val="24"/>
                <w:szCs w:val="24"/>
              </w:rPr>
            </w:pPr>
          </w:p>
        </w:tc>
        <w:tc>
          <w:tcPr>
            <w:tcW w:w="517" w:type="dxa"/>
            <w:vMerge w:val="restart"/>
            <w:tcBorders>
              <w:top w:val="nil"/>
              <w:left w:val="nil"/>
              <w:bottom w:val="single" w:color="auto" w:sz="8" w:space="0"/>
              <w:right w:val="single" w:color="auto" w:sz="8" w:space="0"/>
            </w:tcBorders>
            <w:vAlign w:val="center"/>
          </w:tcPr>
          <w:p w14:paraId="3A14922E">
            <w:pPr>
              <w:pStyle w:val="4"/>
              <w:widowControl/>
              <w:spacing w:beforeAutospacing="0" w:afterAutospacing="0" w:line="560" w:lineRule="exact"/>
              <w:jc w:val="center"/>
              <w:textAlignment w:val="top"/>
              <w:rPr>
                <w:rFonts w:ascii="宋体" w:cs="Times New Roman"/>
              </w:rPr>
            </w:pPr>
            <w:r>
              <w:rPr>
                <w:rFonts w:hint="eastAsia" w:ascii="宋体" w:hAnsi="宋体" w:cs="宋体"/>
              </w:rPr>
              <w:t>自然人</w:t>
            </w:r>
          </w:p>
        </w:tc>
        <w:tc>
          <w:tcPr>
            <w:tcW w:w="3334" w:type="dxa"/>
            <w:gridSpan w:val="5"/>
            <w:tcBorders>
              <w:top w:val="single" w:color="auto" w:sz="8" w:space="0"/>
              <w:left w:val="nil"/>
              <w:bottom w:val="single" w:color="auto" w:sz="8" w:space="0"/>
              <w:right w:val="single" w:color="auto" w:sz="8" w:space="0"/>
            </w:tcBorders>
            <w:tcMar>
              <w:top w:w="0" w:type="dxa"/>
              <w:left w:w="105" w:type="dxa"/>
              <w:bottom w:w="0" w:type="dxa"/>
              <w:right w:w="105" w:type="dxa"/>
            </w:tcMar>
          </w:tcPr>
          <w:p w14:paraId="58CB14BE">
            <w:pPr>
              <w:pStyle w:val="4"/>
              <w:widowControl/>
              <w:spacing w:beforeAutospacing="0" w:afterAutospacing="0" w:line="560" w:lineRule="exact"/>
              <w:jc w:val="center"/>
              <w:textAlignment w:val="top"/>
              <w:rPr>
                <w:rFonts w:ascii="宋体" w:cs="Times New Roman"/>
              </w:rPr>
            </w:pPr>
            <w:r>
              <w:rPr>
                <w:rFonts w:hint="eastAsia" w:ascii="宋体" w:hAnsi="宋体" w:cs="宋体"/>
              </w:rPr>
              <w:t>法人或其他组织</w:t>
            </w:r>
          </w:p>
        </w:tc>
        <w:tc>
          <w:tcPr>
            <w:tcW w:w="908" w:type="dxa"/>
            <w:vMerge w:val="restart"/>
            <w:tcBorders>
              <w:top w:val="single" w:color="auto" w:sz="8" w:space="0"/>
              <w:left w:val="nil"/>
              <w:bottom w:val="outset" w:color="auto" w:sz="8" w:space="0"/>
              <w:right w:val="single" w:color="auto" w:sz="8" w:space="0"/>
            </w:tcBorders>
            <w:tcMar>
              <w:top w:w="0" w:type="dxa"/>
              <w:left w:w="60" w:type="dxa"/>
              <w:bottom w:w="0" w:type="dxa"/>
              <w:right w:w="60" w:type="dxa"/>
            </w:tcMar>
          </w:tcPr>
          <w:p w14:paraId="1FA4888C">
            <w:pPr>
              <w:pStyle w:val="4"/>
              <w:widowControl/>
              <w:spacing w:beforeAutospacing="0" w:afterAutospacing="0" w:line="560" w:lineRule="exact"/>
              <w:jc w:val="center"/>
              <w:textAlignment w:val="top"/>
              <w:rPr>
                <w:rFonts w:ascii="宋体" w:cs="Times New Roman"/>
              </w:rPr>
            </w:pPr>
            <w:r>
              <w:rPr>
                <w:rFonts w:hint="eastAsia" w:ascii="宋体" w:hAnsi="宋体" w:cs="宋体"/>
              </w:rPr>
              <w:t>总计</w:t>
            </w:r>
          </w:p>
        </w:tc>
      </w:tr>
      <w:tr w14:paraId="78861C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04" w:type="dxa"/>
            <w:gridSpan w:val="3"/>
            <w:vMerge w:val="continue"/>
            <w:tcBorders>
              <w:top w:val="single" w:color="auto" w:sz="8" w:space="0"/>
              <w:left w:val="single" w:color="auto" w:sz="8" w:space="0"/>
              <w:bottom w:val="outset" w:color="auto" w:sz="8" w:space="0"/>
              <w:right w:val="single" w:color="auto" w:sz="8" w:space="0"/>
            </w:tcBorders>
          </w:tcPr>
          <w:p w14:paraId="55624EA9">
            <w:pPr>
              <w:widowControl/>
              <w:spacing w:line="560" w:lineRule="exact"/>
              <w:rPr>
                <w:rFonts w:ascii="宋体" w:cs="Times New Roman"/>
                <w:sz w:val="24"/>
                <w:szCs w:val="24"/>
              </w:rPr>
            </w:pPr>
          </w:p>
        </w:tc>
        <w:tc>
          <w:tcPr>
            <w:tcW w:w="517" w:type="dxa"/>
            <w:vMerge w:val="continue"/>
            <w:tcBorders>
              <w:top w:val="nil"/>
              <w:left w:val="nil"/>
              <w:bottom w:val="single" w:color="auto" w:sz="8" w:space="0"/>
              <w:right w:val="single" w:color="auto" w:sz="8" w:space="0"/>
            </w:tcBorders>
            <w:vAlign w:val="center"/>
          </w:tcPr>
          <w:p w14:paraId="02CF7638">
            <w:pPr>
              <w:widowControl/>
              <w:spacing w:line="560" w:lineRule="exact"/>
              <w:rPr>
                <w:rFonts w:ascii="宋体" w:cs="Times New Roman"/>
                <w:sz w:val="24"/>
                <w:szCs w:val="24"/>
              </w:rPr>
            </w:pPr>
          </w:p>
        </w:tc>
        <w:tc>
          <w:tcPr>
            <w:tcW w:w="870" w:type="dxa"/>
            <w:tcBorders>
              <w:top w:val="nil"/>
              <w:left w:val="nil"/>
              <w:bottom w:val="single" w:color="auto" w:sz="8" w:space="0"/>
              <w:right w:val="single" w:color="auto" w:sz="8" w:space="0"/>
            </w:tcBorders>
            <w:tcMar>
              <w:top w:w="0" w:type="dxa"/>
              <w:left w:w="105" w:type="dxa"/>
              <w:bottom w:w="0" w:type="dxa"/>
              <w:right w:w="105" w:type="dxa"/>
            </w:tcMar>
          </w:tcPr>
          <w:p w14:paraId="715DC38D">
            <w:pPr>
              <w:pStyle w:val="4"/>
              <w:widowControl/>
              <w:spacing w:beforeAutospacing="0" w:afterAutospacing="0" w:line="560" w:lineRule="exact"/>
              <w:ind w:firstLine="480" w:firstLineChars="200"/>
              <w:jc w:val="center"/>
              <w:textAlignment w:val="top"/>
              <w:rPr>
                <w:rFonts w:ascii="宋体" w:cs="Times New Roman"/>
              </w:rPr>
            </w:pPr>
            <w:r>
              <w:rPr>
                <w:rFonts w:hint="eastAsia" w:ascii="宋体" w:hAnsi="宋体" w:cs="宋体"/>
              </w:rPr>
              <w:t>商业</w:t>
            </w:r>
          </w:p>
          <w:p w14:paraId="265C3AA0">
            <w:pPr>
              <w:pStyle w:val="4"/>
              <w:widowControl/>
              <w:spacing w:beforeAutospacing="0" w:afterAutospacing="0" w:line="560" w:lineRule="exact"/>
              <w:ind w:firstLine="480" w:firstLineChars="200"/>
              <w:jc w:val="center"/>
              <w:textAlignment w:val="top"/>
              <w:rPr>
                <w:rFonts w:ascii="宋体" w:cs="Times New Roman"/>
              </w:rPr>
            </w:pPr>
            <w:r>
              <w:rPr>
                <w:rFonts w:hint="eastAsia" w:ascii="宋体" w:hAnsi="宋体" w:cs="宋体"/>
              </w:rPr>
              <w:t>企业</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49702888">
            <w:pPr>
              <w:pStyle w:val="4"/>
              <w:widowControl/>
              <w:spacing w:beforeAutospacing="0" w:afterAutospacing="0" w:line="560" w:lineRule="exact"/>
              <w:ind w:firstLine="480" w:firstLineChars="200"/>
              <w:jc w:val="center"/>
              <w:textAlignment w:val="top"/>
              <w:rPr>
                <w:rFonts w:ascii="宋体" w:cs="Times New Roman"/>
              </w:rPr>
            </w:pPr>
            <w:r>
              <w:rPr>
                <w:rFonts w:hint="eastAsia" w:ascii="宋体" w:hAnsi="宋体" w:cs="宋体"/>
              </w:rPr>
              <w:t>科研</w:t>
            </w:r>
          </w:p>
          <w:p w14:paraId="248A4537">
            <w:pPr>
              <w:pStyle w:val="4"/>
              <w:widowControl/>
              <w:spacing w:beforeAutospacing="0" w:afterAutospacing="0" w:line="560" w:lineRule="exact"/>
              <w:ind w:firstLine="480" w:firstLineChars="200"/>
              <w:jc w:val="center"/>
              <w:textAlignment w:val="top"/>
              <w:rPr>
                <w:rFonts w:ascii="宋体" w:cs="Times New Roman"/>
              </w:rPr>
            </w:pPr>
            <w:r>
              <w:rPr>
                <w:rFonts w:hint="eastAsia" w:ascii="宋体" w:hAnsi="宋体" w:cs="宋体"/>
              </w:rPr>
              <w:t>机构</w:t>
            </w:r>
          </w:p>
        </w:tc>
        <w:tc>
          <w:tcPr>
            <w:tcW w:w="561"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7CC25638">
            <w:pPr>
              <w:pStyle w:val="4"/>
              <w:widowControl/>
              <w:spacing w:beforeAutospacing="0" w:afterAutospacing="0" w:line="560" w:lineRule="exact"/>
              <w:jc w:val="center"/>
              <w:textAlignment w:val="top"/>
              <w:rPr>
                <w:rFonts w:ascii="宋体" w:cs="Times New Roman"/>
              </w:rPr>
            </w:pPr>
            <w:r>
              <w:rPr>
                <w:rFonts w:hint="eastAsia" w:ascii="宋体" w:hAnsi="宋体" w:cs="宋体"/>
              </w:rPr>
              <w:t>社会公益组织</w:t>
            </w:r>
          </w:p>
        </w:tc>
        <w:tc>
          <w:tcPr>
            <w:tcW w:w="561"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4A9F3661">
            <w:pPr>
              <w:pStyle w:val="4"/>
              <w:widowControl/>
              <w:spacing w:beforeAutospacing="0" w:afterAutospacing="0" w:line="560" w:lineRule="exact"/>
              <w:jc w:val="center"/>
              <w:textAlignment w:val="top"/>
              <w:rPr>
                <w:rFonts w:ascii="宋体" w:cs="Times New Roman"/>
              </w:rPr>
            </w:pPr>
            <w:r>
              <w:rPr>
                <w:rFonts w:hint="eastAsia" w:ascii="宋体" w:hAnsi="宋体" w:cs="宋体"/>
              </w:rPr>
              <w:t>法律服务机构</w:t>
            </w:r>
          </w:p>
        </w:tc>
        <w:tc>
          <w:tcPr>
            <w:tcW w:w="562"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109AE21B">
            <w:pPr>
              <w:pStyle w:val="4"/>
              <w:widowControl/>
              <w:spacing w:beforeAutospacing="0" w:afterAutospacing="0" w:line="560" w:lineRule="exact"/>
              <w:jc w:val="center"/>
              <w:textAlignment w:val="top"/>
              <w:rPr>
                <w:rFonts w:ascii="宋体" w:cs="Times New Roman"/>
              </w:rPr>
            </w:pPr>
            <w:r>
              <w:rPr>
                <w:rFonts w:hint="eastAsia" w:ascii="宋体" w:hAnsi="宋体" w:cs="宋体"/>
              </w:rPr>
              <w:t>其他</w:t>
            </w:r>
          </w:p>
        </w:tc>
        <w:tc>
          <w:tcPr>
            <w:tcW w:w="908" w:type="dxa"/>
            <w:vMerge w:val="continue"/>
            <w:tcBorders>
              <w:top w:val="single" w:color="auto" w:sz="8" w:space="0"/>
              <w:left w:val="nil"/>
              <w:bottom w:val="outset" w:color="auto" w:sz="8" w:space="0"/>
              <w:right w:val="single" w:color="auto" w:sz="8" w:space="0"/>
            </w:tcBorders>
            <w:tcMar>
              <w:top w:w="0" w:type="dxa"/>
              <w:left w:w="60" w:type="dxa"/>
              <w:bottom w:w="0" w:type="dxa"/>
              <w:right w:w="60" w:type="dxa"/>
            </w:tcMar>
          </w:tcPr>
          <w:p w14:paraId="6A56EF0D">
            <w:pPr>
              <w:widowControl/>
              <w:spacing w:line="560" w:lineRule="exact"/>
              <w:rPr>
                <w:rFonts w:ascii="宋体" w:cs="Times New Roman"/>
                <w:sz w:val="24"/>
                <w:szCs w:val="24"/>
              </w:rPr>
            </w:pPr>
          </w:p>
        </w:tc>
      </w:tr>
      <w:tr w14:paraId="407B31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04" w:type="dxa"/>
            <w:gridSpan w:val="3"/>
            <w:tcBorders>
              <w:top w:val="nil"/>
              <w:left w:val="single" w:color="auto" w:sz="8" w:space="0"/>
              <w:bottom w:val="single" w:color="auto" w:sz="8" w:space="0"/>
              <w:right w:val="single" w:color="auto" w:sz="8" w:space="0"/>
            </w:tcBorders>
            <w:tcMar>
              <w:top w:w="0" w:type="dxa"/>
              <w:left w:w="60" w:type="dxa"/>
              <w:bottom w:w="0" w:type="dxa"/>
              <w:right w:w="60" w:type="dxa"/>
            </w:tcMar>
          </w:tcPr>
          <w:p w14:paraId="6E6A1B6F">
            <w:pPr>
              <w:pStyle w:val="4"/>
              <w:widowControl/>
              <w:spacing w:beforeAutospacing="0" w:afterAutospacing="0" w:line="560" w:lineRule="exact"/>
              <w:textAlignment w:val="top"/>
              <w:rPr>
                <w:rFonts w:ascii="宋体" w:cs="Times New Roman"/>
              </w:rPr>
            </w:pPr>
            <w:r>
              <w:rPr>
                <w:rFonts w:hint="eastAsia" w:ascii="宋体" w:hAnsi="宋体" w:cs="宋体"/>
              </w:rPr>
              <w:t>一、本年新收政府信息公开申请数量</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2FEB39C7">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045B1B9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2B69381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1F55ED9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17D1E94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497F60A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76319531">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0</w:t>
            </w:r>
          </w:p>
        </w:tc>
      </w:tr>
      <w:tr w14:paraId="48E0EF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04" w:type="dxa"/>
            <w:gridSpan w:val="3"/>
            <w:tcBorders>
              <w:top w:val="nil"/>
              <w:left w:val="single" w:color="auto" w:sz="8" w:space="0"/>
              <w:bottom w:val="single" w:color="auto" w:sz="8" w:space="0"/>
              <w:right w:val="single" w:color="auto" w:sz="8" w:space="0"/>
            </w:tcBorders>
            <w:tcMar>
              <w:top w:w="0" w:type="dxa"/>
              <w:left w:w="60" w:type="dxa"/>
              <w:bottom w:w="0" w:type="dxa"/>
              <w:right w:w="60" w:type="dxa"/>
            </w:tcMar>
          </w:tcPr>
          <w:p w14:paraId="687AE2FE">
            <w:pPr>
              <w:pStyle w:val="4"/>
              <w:widowControl/>
              <w:spacing w:beforeAutospacing="0" w:afterAutospacing="0" w:line="560" w:lineRule="exact"/>
              <w:textAlignment w:val="top"/>
              <w:rPr>
                <w:rFonts w:ascii="宋体" w:cs="Times New Roman"/>
              </w:rPr>
            </w:pPr>
            <w:r>
              <w:rPr>
                <w:rFonts w:hint="eastAsia" w:ascii="宋体" w:hAnsi="宋体" w:cs="宋体"/>
              </w:rPr>
              <w:t>二、上年结转政府信息公开申请数量</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7E3A868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42488D9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6CAD77B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43E649F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51819A5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4948F0C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2842168D">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1FC4AB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restart"/>
            <w:tcBorders>
              <w:top w:val="nil"/>
              <w:left w:val="single" w:color="auto" w:sz="8" w:space="0"/>
              <w:bottom w:val="outset" w:color="auto" w:sz="8" w:space="0"/>
              <w:right w:val="single" w:color="auto" w:sz="8" w:space="0"/>
            </w:tcBorders>
            <w:tcMar>
              <w:top w:w="0" w:type="dxa"/>
              <w:left w:w="60" w:type="dxa"/>
              <w:bottom w:w="0" w:type="dxa"/>
              <w:right w:w="60" w:type="dxa"/>
            </w:tcMar>
          </w:tcPr>
          <w:p w14:paraId="344B60D7">
            <w:pPr>
              <w:pStyle w:val="4"/>
              <w:widowControl/>
              <w:spacing w:beforeAutospacing="0" w:afterAutospacing="0" w:line="560" w:lineRule="exact"/>
              <w:textAlignment w:val="top"/>
              <w:rPr>
                <w:rFonts w:ascii="宋体" w:cs="Times New Roman"/>
              </w:rPr>
            </w:pPr>
            <w:r>
              <w:rPr>
                <w:rFonts w:hint="eastAsia" w:ascii="宋体" w:hAnsi="宋体" w:cs="宋体"/>
              </w:rPr>
              <w:t>三、本年度办理结果</w:t>
            </w:r>
          </w:p>
        </w:tc>
        <w:tc>
          <w:tcPr>
            <w:tcW w:w="3204" w:type="dxa"/>
            <w:gridSpan w:val="2"/>
            <w:tcBorders>
              <w:top w:val="nil"/>
              <w:left w:val="nil"/>
              <w:bottom w:val="single" w:color="auto" w:sz="8" w:space="0"/>
              <w:right w:val="single" w:color="auto" w:sz="8" w:space="0"/>
            </w:tcBorders>
            <w:tcMar>
              <w:top w:w="0" w:type="dxa"/>
              <w:left w:w="60" w:type="dxa"/>
              <w:bottom w:w="0" w:type="dxa"/>
              <w:right w:w="60" w:type="dxa"/>
            </w:tcMar>
          </w:tcPr>
          <w:p w14:paraId="69F2A65D">
            <w:pPr>
              <w:pStyle w:val="4"/>
              <w:widowControl/>
              <w:spacing w:beforeAutospacing="0" w:afterAutospacing="0" w:line="560" w:lineRule="exact"/>
              <w:textAlignment w:val="top"/>
              <w:rPr>
                <w:rFonts w:ascii="宋体" w:cs="Times New Roman"/>
              </w:rPr>
            </w:pPr>
            <w:r>
              <w:rPr>
                <w:rFonts w:hint="eastAsia" w:ascii="宋体" w:hAnsi="宋体" w:cs="宋体"/>
              </w:rPr>
              <w:t>（一）予以公开</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5B7CBF5D">
            <w:pPr>
              <w:widowControl/>
              <w:spacing w:line="560" w:lineRule="exact"/>
              <w:jc w:val="center"/>
              <w:textAlignment w:val="top"/>
              <w:rPr>
                <w:rFonts w:hint="default" w:ascii="宋体" w:eastAsia="宋体" w:cs="Times New Roman"/>
                <w:sz w:val="24"/>
                <w:szCs w:val="24"/>
                <w:lang w:val="en-US" w:eastAsia="zh-CN"/>
              </w:rPr>
            </w:pPr>
            <w:r>
              <w:rPr>
                <w:rFonts w:hint="eastAsia" w:ascii="宋体" w:cs="Times New Roman"/>
                <w:sz w:val="24"/>
                <w:szCs w:val="24"/>
                <w:lang w:val="en-US" w:eastAsia="zh-CN"/>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4BA8114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3889F3F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4F2CDDE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1279918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2EFECCB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0B43D8F8">
            <w:pPr>
              <w:widowControl/>
              <w:spacing w:line="560" w:lineRule="exact"/>
              <w:jc w:val="center"/>
              <w:textAlignment w:val="top"/>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r>
      <w:tr w14:paraId="283927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3087803A">
            <w:pPr>
              <w:widowControl/>
              <w:spacing w:line="560" w:lineRule="exact"/>
              <w:rPr>
                <w:rFonts w:ascii="宋体" w:cs="Times New Roman"/>
                <w:sz w:val="24"/>
                <w:szCs w:val="24"/>
              </w:rPr>
            </w:pPr>
          </w:p>
        </w:tc>
        <w:tc>
          <w:tcPr>
            <w:tcW w:w="3204" w:type="dxa"/>
            <w:gridSpan w:val="2"/>
            <w:tcBorders>
              <w:top w:val="nil"/>
              <w:left w:val="nil"/>
              <w:bottom w:val="single" w:color="auto" w:sz="8" w:space="0"/>
              <w:right w:val="single" w:color="auto" w:sz="8" w:space="0"/>
            </w:tcBorders>
            <w:tcMar>
              <w:top w:w="0" w:type="dxa"/>
              <w:left w:w="60" w:type="dxa"/>
              <w:bottom w:w="0" w:type="dxa"/>
              <w:right w:w="60" w:type="dxa"/>
            </w:tcMar>
          </w:tcPr>
          <w:p w14:paraId="1840E54B">
            <w:pPr>
              <w:pStyle w:val="4"/>
              <w:widowControl/>
              <w:spacing w:beforeAutospacing="0" w:afterAutospacing="0" w:line="560" w:lineRule="exact"/>
              <w:textAlignment w:val="top"/>
              <w:rPr>
                <w:rFonts w:ascii="宋体" w:cs="Times New Roman"/>
              </w:rPr>
            </w:pPr>
            <w:r>
              <w:rPr>
                <w:rFonts w:hint="eastAsia" w:ascii="宋体" w:hAnsi="宋体" w:cs="宋体"/>
              </w:rPr>
              <w:t>（二）部分公开（区分处理的，只计这一情形，不计其他情形）</w:t>
            </w:r>
          </w:p>
        </w:tc>
        <w:tc>
          <w:tcPr>
            <w:tcW w:w="517" w:type="dxa"/>
            <w:tcBorders>
              <w:top w:val="nil"/>
              <w:left w:val="nil"/>
              <w:bottom w:val="single" w:color="auto" w:sz="8" w:space="0"/>
              <w:right w:val="single" w:color="auto" w:sz="8" w:space="0"/>
            </w:tcBorders>
            <w:tcMar>
              <w:top w:w="0" w:type="dxa"/>
              <w:left w:w="60" w:type="dxa"/>
              <w:bottom w:w="0" w:type="dxa"/>
              <w:right w:w="60" w:type="dxa"/>
            </w:tcMar>
            <w:vAlign w:val="center"/>
          </w:tcPr>
          <w:p w14:paraId="50C8385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vAlign w:val="center"/>
          </w:tcPr>
          <w:p w14:paraId="57189F5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vAlign w:val="center"/>
          </w:tcPr>
          <w:p w14:paraId="7D3BE52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32E76C7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2363F1F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vAlign w:val="center"/>
          </w:tcPr>
          <w:p w14:paraId="1A3BA92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vAlign w:val="center"/>
          </w:tcPr>
          <w:p w14:paraId="5EA2284F">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054019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3876C33D">
            <w:pPr>
              <w:widowControl/>
              <w:spacing w:line="560" w:lineRule="exact"/>
              <w:rPr>
                <w:rFonts w:ascii="宋体" w:cs="Times New Roman"/>
                <w:sz w:val="24"/>
                <w:szCs w:val="24"/>
              </w:rPr>
            </w:pPr>
          </w:p>
        </w:tc>
        <w:tc>
          <w:tcPr>
            <w:tcW w:w="907" w:type="dxa"/>
            <w:vMerge w:val="restart"/>
            <w:tcBorders>
              <w:top w:val="nil"/>
              <w:left w:val="nil"/>
              <w:bottom w:val="outset" w:color="auto" w:sz="8" w:space="0"/>
              <w:right w:val="single" w:color="auto" w:sz="8" w:space="0"/>
            </w:tcBorders>
            <w:tcMar>
              <w:top w:w="0" w:type="dxa"/>
              <w:left w:w="60" w:type="dxa"/>
              <w:bottom w:w="0" w:type="dxa"/>
              <w:right w:w="60" w:type="dxa"/>
            </w:tcMar>
          </w:tcPr>
          <w:p w14:paraId="47FC690A">
            <w:pPr>
              <w:pStyle w:val="4"/>
              <w:widowControl/>
              <w:spacing w:beforeAutospacing="0" w:afterAutospacing="0" w:line="560" w:lineRule="exact"/>
              <w:textAlignment w:val="top"/>
              <w:rPr>
                <w:rFonts w:ascii="宋体" w:cs="Times New Roman"/>
              </w:rPr>
            </w:pPr>
            <w:r>
              <w:rPr>
                <w:rFonts w:hint="eastAsia" w:ascii="宋体" w:hAnsi="宋体" w:cs="宋体"/>
              </w:rPr>
              <w:t>（三）不予公开</w:t>
            </w: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58EA6E5D">
            <w:pPr>
              <w:pStyle w:val="4"/>
              <w:widowControl/>
              <w:spacing w:beforeAutospacing="0" w:afterAutospacing="0" w:line="560" w:lineRule="exact"/>
              <w:textAlignment w:val="top"/>
              <w:rPr>
                <w:rFonts w:ascii="宋体" w:cs="Times New Roman"/>
              </w:rPr>
            </w:pPr>
            <w:r>
              <w:rPr>
                <w:rFonts w:ascii="宋体" w:hAnsi="宋体" w:cs="宋体"/>
              </w:rPr>
              <w:t>1.</w:t>
            </w:r>
            <w:r>
              <w:rPr>
                <w:rFonts w:hint="eastAsia" w:ascii="宋体" w:hAnsi="宋体" w:cs="宋体"/>
              </w:rPr>
              <w:t>属于国家秘密</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63E831C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5F0608E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63BB364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5800EDD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21EAD9E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3D34770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1256A26E">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2128A7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20B75B1F">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0E3938D3">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5176CDFF">
            <w:pPr>
              <w:pStyle w:val="4"/>
              <w:widowControl/>
              <w:spacing w:beforeAutospacing="0" w:afterAutospacing="0" w:line="560" w:lineRule="exact"/>
              <w:textAlignment w:val="top"/>
              <w:rPr>
                <w:rFonts w:ascii="宋体" w:cs="Times New Roman"/>
              </w:rPr>
            </w:pPr>
            <w:r>
              <w:rPr>
                <w:rFonts w:ascii="宋体" w:hAnsi="宋体" w:cs="宋体"/>
              </w:rPr>
              <w:t>2.</w:t>
            </w:r>
            <w:r>
              <w:rPr>
                <w:rFonts w:hint="eastAsia" w:ascii="宋体" w:hAnsi="宋体" w:cs="宋体"/>
              </w:rPr>
              <w:t>其他法律行政法规禁止公开</w:t>
            </w:r>
          </w:p>
        </w:tc>
        <w:tc>
          <w:tcPr>
            <w:tcW w:w="517" w:type="dxa"/>
            <w:tcBorders>
              <w:top w:val="nil"/>
              <w:left w:val="nil"/>
              <w:bottom w:val="single" w:color="auto" w:sz="8" w:space="0"/>
              <w:right w:val="single" w:color="auto" w:sz="8" w:space="0"/>
            </w:tcBorders>
            <w:tcMar>
              <w:top w:w="0" w:type="dxa"/>
              <w:left w:w="60" w:type="dxa"/>
              <w:bottom w:w="0" w:type="dxa"/>
              <w:right w:w="60" w:type="dxa"/>
            </w:tcMar>
            <w:vAlign w:val="center"/>
          </w:tcPr>
          <w:p w14:paraId="381D6F6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vAlign w:val="center"/>
          </w:tcPr>
          <w:p w14:paraId="1F2F23E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vAlign w:val="center"/>
          </w:tcPr>
          <w:p w14:paraId="1A74A97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7BD2DEF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4D082EC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vAlign w:val="center"/>
          </w:tcPr>
          <w:p w14:paraId="617ADC6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vAlign w:val="center"/>
          </w:tcPr>
          <w:p w14:paraId="2CA48FDB">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7DB672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380D570C">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0768DEF0">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212851EB">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危及“三安全一稳定”</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34BC83E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22E252C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644CCE3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48CADA1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7BD4CF8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1707058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00351E75">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31A363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21C50CAA">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26DB9477">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68491351">
            <w:pPr>
              <w:pStyle w:val="4"/>
              <w:widowControl/>
              <w:spacing w:beforeAutospacing="0" w:afterAutospacing="0" w:line="560" w:lineRule="exact"/>
              <w:textAlignment w:val="top"/>
              <w:rPr>
                <w:rFonts w:ascii="宋体" w:cs="Times New Roman"/>
              </w:rPr>
            </w:pPr>
            <w:r>
              <w:rPr>
                <w:rFonts w:ascii="宋体" w:hAnsi="宋体" w:cs="宋体"/>
              </w:rPr>
              <w:t>4.</w:t>
            </w:r>
            <w:r>
              <w:rPr>
                <w:rFonts w:hint="eastAsia" w:ascii="宋体" w:hAnsi="宋体" w:cs="宋体"/>
              </w:rPr>
              <w:t>保护第三方合法权益</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6E46501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758070C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5639065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17810E3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69A79B5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565B37F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6221122A">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5F0964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131F1639">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66626691">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619E8DFE">
            <w:pPr>
              <w:pStyle w:val="4"/>
              <w:widowControl/>
              <w:spacing w:beforeAutospacing="0" w:afterAutospacing="0" w:line="560" w:lineRule="exact"/>
              <w:textAlignment w:val="top"/>
              <w:rPr>
                <w:rFonts w:ascii="宋体" w:cs="Times New Roman"/>
              </w:rPr>
            </w:pPr>
            <w:r>
              <w:rPr>
                <w:rFonts w:ascii="宋体" w:hAnsi="宋体" w:cs="宋体"/>
              </w:rPr>
              <w:t>5.</w:t>
            </w:r>
            <w:r>
              <w:rPr>
                <w:rFonts w:hint="eastAsia" w:ascii="宋体" w:hAnsi="宋体" w:cs="宋体"/>
              </w:rPr>
              <w:t>属于三类内部事务信息</w:t>
            </w:r>
          </w:p>
        </w:tc>
        <w:tc>
          <w:tcPr>
            <w:tcW w:w="517" w:type="dxa"/>
            <w:tcBorders>
              <w:top w:val="nil"/>
              <w:left w:val="nil"/>
              <w:bottom w:val="single" w:color="auto" w:sz="8" w:space="0"/>
              <w:right w:val="single" w:color="auto" w:sz="8" w:space="0"/>
            </w:tcBorders>
            <w:tcMar>
              <w:top w:w="0" w:type="dxa"/>
              <w:left w:w="60" w:type="dxa"/>
              <w:bottom w:w="0" w:type="dxa"/>
              <w:right w:w="60" w:type="dxa"/>
            </w:tcMar>
            <w:vAlign w:val="center"/>
          </w:tcPr>
          <w:p w14:paraId="0435F09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vAlign w:val="center"/>
          </w:tcPr>
          <w:p w14:paraId="15BF625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vAlign w:val="center"/>
          </w:tcPr>
          <w:p w14:paraId="4CD6DD7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459DA50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4E43179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vAlign w:val="center"/>
          </w:tcPr>
          <w:p w14:paraId="33A4CC5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vAlign w:val="center"/>
          </w:tcPr>
          <w:p w14:paraId="7AF2DE44">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3874D6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409CE099">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74D9ED9E">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12EBF85A">
            <w:pPr>
              <w:pStyle w:val="4"/>
              <w:widowControl/>
              <w:spacing w:beforeAutospacing="0" w:afterAutospacing="0" w:line="560" w:lineRule="exact"/>
              <w:textAlignment w:val="top"/>
              <w:rPr>
                <w:rFonts w:ascii="宋体" w:cs="Times New Roman"/>
              </w:rPr>
            </w:pPr>
            <w:r>
              <w:rPr>
                <w:rFonts w:ascii="宋体" w:hAnsi="宋体" w:cs="宋体"/>
              </w:rPr>
              <w:t>6.</w:t>
            </w:r>
            <w:r>
              <w:rPr>
                <w:rFonts w:hint="eastAsia" w:ascii="宋体" w:hAnsi="宋体" w:cs="宋体"/>
              </w:rPr>
              <w:t>属于四类过程性信息</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1B78515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7CDA567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74EBC32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3271CE7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4159602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2FEBF08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3D4A591B">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4DB3B6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25A28205">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37C41CFD">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4669BBF3">
            <w:pPr>
              <w:pStyle w:val="4"/>
              <w:widowControl/>
              <w:spacing w:beforeAutospacing="0" w:afterAutospacing="0" w:line="560" w:lineRule="exact"/>
              <w:textAlignment w:val="top"/>
              <w:rPr>
                <w:rFonts w:ascii="宋体" w:cs="Times New Roman"/>
              </w:rPr>
            </w:pPr>
            <w:r>
              <w:rPr>
                <w:rFonts w:ascii="宋体" w:hAnsi="宋体" w:cs="宋体"/>
              </w:rPr>
              <w:t>7.</w:t>
            </w:r>
            <w:r>
              <w:rPr>
                <w:rFonts w:hint="eastAsia" w:ascii="宋体" w:hAnsi="宋体" w:cs="宋体"/>
              </w:rPr>
              <w:t>属于行政执法案卷</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1CBF8C3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16A4CFF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63ADC09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05FAA9A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416AB6F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6177CF5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7652739E">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33DC27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4F56C83F">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0989BF0A">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1470D4FC">
            <w:pPr>
              <w:pStyle w:val="4"/>
              <w:widowControl/>
              <w:spacing w:beforeAutospacing="0" w:afterAutospacing="0" w:line="560" w:lineRule="exact"/>
              <w:textAlignment w:val="top"/>
              <w:rPr>
                <w:rFonts w:ascii="宋体" w:cs="Times New Roman"/>
              </w:rPr>
            </w:pPr>
            <w:r>
              <w:rPr>
                <w:rFonts w:ascii="宋体" w:hAnsi="宋体" w:cs="宋体"/>
              </w:rPr>
              <w:t>8.</w:t>
            </w:r>
            <w:r>
              <w:rPr>
                <w:rFonts w:hint="eastAsia" w:ascii="宋体" w:hAnsi="宋体" w:cs="宋体"/>
              </w:rPr>
              <w:t>属于行政查询事项</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244501A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568503A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768BD34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0B7C757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69E19AD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286170F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4274EA35">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05429E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57CCC1B6">
            <w:pPr>
              <w:widowControl/>
              <w:spacing w:line="560" w:lineRule="exact"/>
              <w:rPr>
                <w:rFonts w:ascii="宋体" w:cs="Times New Roman"/>
                <w:sz w:val="24"/>
                <w:szCs w:val="24"/>
              </w:rPr>
            </w:pPr>
          </w:p>
        </w:tc>
        <w:tc>
          <w:tcPr>
            <w:tcW w:w="907" w:type="dxa"/>
            <w:vMerge w:val="restart"/>
            <w:tcBorders>
              <w:top w:val="nil"/>
              <w:left w:val="nil"/>
              <w:bottom w:val="outset" w:color="auto" w:sz="8" w:space="0"/>
              <w:right w:val="single" w:color="auto" w:sz="8" w:space="0"/>
            </w:tcBorders>
            <w:tcMar>
              <w:top w:w="0" w:type="dxa"/>
              <w:left w:w="60" w:type="dxa"/>
              <w:bottom w:w="0" w:type="dxa"/>
              <w:right w:w="60" w:type="dxa"/>
            </w:tcMar>
          </w:tcPr>
          <w:p w14:paraId="0711E853">
            <w:pPr>
              <w:pStyle w:val="4"/>
              <w:widowControl/>
              <w:spacing w:beforeAutospacing="0" w:afterAutospacing="0" w:line="560" w:lineRule="exact"/>
              <w:textAlignment w:val="top"/>
              <w:rPr>
                <w:rFonts w:ascii="宋体" w:cs="Times New Roman"/>
              </w:rPr>
            </w:pPr>
            <w:r>
              <w:rPr>
                <w:rFonts w:hint="eastAsia" w:ascii="宋体" w:hAnsi="宋体" w:cs="宋体"/>
              </w:rPr>
              <w:t>（四）无法提供</w:t>
            </w: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24EE6F6B">
            <w:pPr>
              <w:pStyle w:val="4"/>
              <w:widowControl/>
              <w:spacing w:beforeAutospacing="0" w:afterAutospacing="0" w:line="560" w:lineRule="exact"/>
              <w:textAlignment w:val="top"/>
              <w:rPr>
                <w:rFonts w:ascii="宋体" w:cs="Times New Roman"/>
              </w:rPr>
            </w:pPr>
            <w:r>
              <w:rPr>
                <w:rFonts w:ascii="宋体" w:hAnsi="宋体" w:cs="宋体"/>
              </w:rPr>
              <w:t>1.</w:t>
            </w:r>
            <w:r>
              <w:rPr>
                <w:rFonts w:hint="eastAsia" w:ascii="宋体" w:hAnsi="宋体" w:cs="宋体"/>
              </w:rPr>
              <w:t>本机关不掌握相关政府信息</w:t>
            </w:r>
          </w:p>
        </w:tc>
        <w:tc>
          <w:tcPr>
            <w:tcW w:w="517" w:type="dxa"/>
            <w:tcBorders>
              <w:top w:val="nil"/>
              <w:left w:val="nil"/>
              <w:bottom w:val="single" w:color="auto" w:sz="8" w:space="0"/>
              <w:right w:val="single" w:color="auto" w:sz="8" w:space="0"/>
            </w:tcBorders>
            <w:tcMar>
              <w:top w:w="0" w:type="dxa"/>
              <w:left w:w="60" w:type="dxa"/>
              <w:bottom w:w="0" w:type="dxa"/>
              <w:right w:w="60" w:type="dxa"/>
            </w:tcMar>
            <w:vAlign w:val="center"/>
          </w:tcPr>
          <w:p w14:paraId="2DFAF099">
            <w:pPr>
              <w:widowControl/>
              <w:spacing w:line="560" w:lineRule="exact"/>
              <w:jc w:val="center"/>
              <w:textAlignment w:val="top"/>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vAlign w:val="center"/>
          </w:tcPr>
          <w:p w14:paraId="322303F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vAlign w:val="center"/>
          </w:tcPr>
          <w:p w14:paraId="4E19143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16C7EB4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04F6FC30">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vAlign w:val="center"/>
          </w:tcPr>
          <w:p w14:paraId="5425C25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vAlign w:val="center"/>
          </w:tcPr>
          <w:p w14:paraId="07C4FCE9">
            <w:pPr>
              <w:widowControl/>
              <w:spacing w:line="560" w:lineRule="exact"/>
              <w:jc w:val="center"/>
              <w:textAlignment w:val="top"/>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r>
      <w:tr w14:paraId="1C50D7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5D291A3B">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5ECE9AC1">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2BC7D919">
            <w:pPr>
              <w:pStyle w:val="4"/>
              <w:widowControl/>
              <w:spacing w:beforeAutospacing="0" w:afterAutospacing="0" w:line="560" w:lineRule="exact"/>
              <w:textAlignment w:val="top"/>
              <w:rPr>
                <w:rFonts w:ascii="宋体" w:cs="Times New Roman"/>
              </w:rPr>
            </w:pPr>
            <w:r>
              <w:rPr>
                <w:rFonts w:ascii="宋体" w:hAnsi="宋体" w:cs="宋体"/>
              </w:rPr>
              <w:t>2.</w:t>
            </w:r>
            <w:r>
              <w:rPr>
                <w:rFonts w:hint="eastAsia" w:ascii="宋体" w:hAnsi="宋体" w:cs="宋体"/>
              </w:rPr>
              <w:t>没有现成信息需要另行制作</w:t>
            </w:r>
          </w:p>
        </w:tc>
        <w:tc>
          <w:tcPr>
            <w:tcW w:w="517" w:type="dxa"/>
            <w:tcBorders>
              <w:top w:val="nil"/>
              <w:left w:val="nil"/>
              <w:bottom w:val="single" w:color="auto" w:sz="8" w:space="0"/>
              <w:right w:val="single" w:color="auto" w:sz="8" w:space="0"/>
            </w:tcBorders>
            <w:tcMar>
              <w:top w:w="0" w:type="dxa"/>
              <w:left w:w="60" w:type="dxa"/>
              <w:bottom w:w="0" w:type="dxa"/>
              <w:right w:w="60" w:type="dxa"/>
            </w:tcMar>
            <w:vAlign w:val="center"/>
          </w:tcPr>
          <w:p w14:paraId="3D3B8B09">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vAlign w:val="center"/>
          </w:tcPr>
          <w:p w14:paraId="59E3C58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vAlign w:val="center"/>
          </w:tcPr>
          <w:p w14:paraId="0C4A2C6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2AC5D0B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51F67C8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vAlign w:val="center"/>
          </w:tcPr>
          <w:p w14:paraId="34503E8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vAlign w:val="center"/>
          </w:tcPr>
          <w:p w14:paraId="7EEA3059">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r>
      <w:tr w14:paraId="16672B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49912D27">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6ACC05AC">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7FACC7AE">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补正后申请内容仍不明确</w:t>
            </w:r>
          </w:p>
        </w:tc>
        <w:tc>
          <w:tcPr>
            <w:tcW w:w="517" w:type="dxa"/>
            <w:tcBorders>
              <w:top w:val="nil"/>
              <w:left w:val="nil"/>
              <w:bottom w:val="single" w:color="auto" w:sz="8" w:space="0"/>
              <w:right w:val="single" w:color="auto" w:sz="8" w:space="0"/>
            </w:tcBorders>
            <w:tcMar>
              <w:top w:w="0" w:type="dxa"/>
              <w:left w:w="60" w:type="dxa"/>
              <w:bottom w:w="0" w:type="dxa"/>
              <w:right w:w="60" w:type="dxa"/>
            </w:tcMar>
            <w:vAlign w:val="center"/>
          </w:tcPr>
          <w:p w14:paraId="6621AC4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vAlign w:val="center"/>
          </w:tcPr>
          <w:p w14:paraId="3A29AA8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vAlign w:val="center"/>
          </w:tcPr>
          <w:p w14:paraId="7D672EC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6DFA293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6C44A36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vAlign w:val="center"/>
          </w:tcPr>
          <w:p w14:paraId="68533B3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vAlign w:val="center"/>
          </w:tcPr>
          <w:p w14:paraId="7A8123ED">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58051C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4847C41B">
            <w:pPr>
              <w:widowControl/>
              <w:spacing w:line="560" w:lineRule="exact"/>
              <w:rPr>
                <w:rFonts w:ascii="宋体" w:cs="Times New Roman"/>
                <w:sz w:val="24"/>
                <w:szCs w:val="24"/>
              </w:rPr>
            </w:pPr>
          </w:p>
        </w:tc>
        <w:tc>
          <w:tcPr>
            <w:tcW w:w="907" w:type="dxa"/>
            <w:vMerge w:val="restart"/>
            <w:tcBorders>
              <w:top w:val="nil"/>
              <w:left w:val="nil"/>
              <w:bottom w:val="outset" w:color="auto" w:sz="8" w:space="0"/>
              <w:right w:val="single" w:color="auto" w:sz="8" w:space="0"/>
            </w:tcBorders>
            <w:tcMar>
              <w:top w:w="0" w:type="dxa"/>
              <w:left w:w="60" w:type="dxa"/>
              <w:bottom w:w="0" w:type="dxa"/>
              <w:right w:w="60" w:type="dxa"/>
            </w:tcMar>
          </w:tcPr>
          <w:p w14:paraId="75DB2454">
            <w:pPr>
              <w:pStyle w:val="4"/>
              <w:widowControl/>
              <w:spacing w:beforeAutospacing="0" w:afterAutospacing="0" w:line="560" w:lineRule="exact"/>
              <w:textAlignment w:val="top"/>
              <w:rPr>
                <w:rFonts w:ascii="宋体" w:cs="Times New Roman"/>
              </w:rPr>
            </w:pPr>
            <w:r>
              <w:rPr>
                <w:rFonts w:hint="eastAsia" w:ascii="宋体" w:hAnsi="宋体" w:cs="宋体"/>
              </w:rPr>
              <w:t>（五）不予处理</w:t>
            </w: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38B206B4">
            <w:pPr>
              <w:pStyle w:val="4"/>
              <w:widowControl/>
              <w:spacing w:beforeAutospacing="0" w:afterAutospacing="0" w:line="560" w:lineRule="exact"/>
              <w:textAlignment w:val="top"/>
              <w:rPr>
                <w:rFonts w:ascii="宋体" w:cs="Times New Roman"/>
              </w:rPr>
            </w:pPr>
            <w:r>
              <w:rPr>
                <w:rFonts w:ascii="宋体" w:hAnsi="宋体" w:cs="宋体"/>
              </w:rPr>
              <w:t>1.</w:t>
            </w:r>
            <w:r>
              <w:rPr>
                <w:rFonts w:hint="eastAsia" w:ascii="宋体" w:hAnsi="宋体" w:cs="宋体"/>
              </w:rPr>
              <w:t>信访举报投诉类申请</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3E11C829">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6D7B373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49224A7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4EFC13B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3B60E32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22E069A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76DD340E">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r>
      <w:tr w14:paraId="73B373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6304D006">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7EEF5FE6">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1226D75F">
            <w:pPr>
              <w:pStyle w:val="4"/>
              <w:widowControl/>
              <w:spacing w:beforeAutospacing="0" w:afterAutospacing="0" w:line="560" w:lineRule="exact"/>
              <w:textAlignment w:val="top"/>
              <w:rPr>
                <w:rFonts w:ascii="宋体" w:cs="Times New Roman"/>
              </w:rPr>
            </w:pPr>
            <w:r>
              <w:rPr>
                <w:rFonts w:ascii="宋体" w:hAnsi="宋体" w:cs="宋体"/>
              </w:rPr>
              <w:t>2.</w:t>
            </w:r>
            <w:r>
              <w:rPr>
                <w:rFonts w:hint="eastAsia" w:ascii="宋体" w:hAnsi="宋体" w:cs="宋体"/>
              </w:rPr>
              <w:t>重复申请</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6A78864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6FC2628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2E4CBEA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24349BF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3A1D66E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495D1AB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498D81EC">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0EBEAD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7530171D">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6E5482B3">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68A98354">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要求提供公开出版物</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7EDE0DA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24607AC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52F7502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3CBD6A0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364B568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2534AE5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34426635">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1EB00A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0904C6C0">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7673DFC5">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772EBEFC">
            <w:pPr>
              <w:pStyle w:val="4"/>
              <w:widowControl/>
              <w:spacing w:beforeAutospacing="0" w:afterAutospacing="0" w:line="560" w:lineRule="exact"/>
              <w:textAlignment w:val="top"/>
              <w:rPr>
                <w:rFonts w:ascii="宋体" w:cs="Times New Roman"/>
              </w:rPr>
            </w:pPr>
            <w:r>
              <w:rPr>
                <w:rFonts w:ascii="宋体" w:hAnsi="宋体" w:cs="宋体"/>
              </w:rPr>
              <w:t>4.</w:t>
            </w:r>
            <w:r>
              <w:rPr>
                <w:rFonts w:hint="eastAsia" w:ascii="宋体" w:hAnsi="宋体" w:cs="宋体"/>
              </w:rPr>
              <w:t>无正当理由大量反复申请</w:t>
            </w:r>
          </w:p>
        </w:tc>
        <w:tc>
          <w:tcPr>
            <w:tcW w:w="517" w:type="dxa"/>
            <w:tcBorders>
              <w:top w:val="nil"/>
              <w:left w:val="nil"/>
              <w:bottom w:val="single" w:color="auto" w:sz="8" w:space="0"/>
              <w:right w:val="single" w:color="auto" w:sz="8" w:space="0"/>
            </w:tcBorders>
            <w:tcMar>
              <w:top w:w="0" w:type="dxa"/>
              <w:left w:w="60" w:type="dxa"/>
              <w:bottom w:w="0" w:type="dxa"/>
              <w:right w:w="60" w:type="dxa"/>
            </w:tcMar>
            <w:vAlign w:val="center"/>
          </w:tcPr>
          <w:p w14:paraId="6C3635A0">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vAlign w:val="center"/>
          </w:tcPr>
          <w:p w14:paraId="1DBDC84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vAlign w:val="center"/>
          </w:tcPr>
          <w:p w14:paraId="5E452A6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04DF43A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1FED7B4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vAlign w:val="center"/>
          </w:tcPr>
          <w:p w14:paraId="18EFD19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vAlign w:val="center"/>
          </w:tcPr>
          <w:p w14:paraId="34683AAB">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6F18E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677A80A6">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02414FC0">
            <w:pPr>
              <w:widowControl/>
              <w:spacing w:line="560" w:lineRule="exact"/>
              <w:rPr>
                <w:rFonts w:ascii="宋体" w:cs="Times New Roman"/>
                <w:sz w:val="24"/>
                <w:szCs w:val="24"/>
              </w:rPr>
            </w:pPr>
          </w:p>
        </w:tc>
        <w:tc>
          <w:tcPr>
            <w:tcW w:w="2297" w:type="dxa"/>
            <w:tcBorders>
              <w:top w:val="nil"/>
              <w:left w:val="nil"/>
              <w:bottom w:val="outset" w:color="auto" w:sz="8" w:space="0"/>
              <w:right w:val="single" w:color="auto" w:sz="8" w:space="0"/>
            </w:tcBorders>
            <w:tcMar>
              <w:top w:w="0" w:type="dxa"/>
              <w:left w:w="60" w:type="dxa"/>
              <w:bottom w:w="0" w:type="dxa"/>
              <w:right w:w="60" w:type="dxa"/>
            </w:tcMar>
          </w:tcPr>
          <w:p w14:paraId="3E226D8A">
            <w:pPr>
              <w:pStyle w:val="4"/>
              <w:widowControl/>
              <w:spacing w:beforeAutospacing="0" w:afterAutospacing="0" w:line="560" w:lineRule="exact"/>
              <w:jc w:val="both"/>
              <w:textAlignment w:val="top"/>
              <w:rPr>
                <w:rFonts w:ascii="宋体" w:cs="Times New Roman"/>
              </w:rPr>
            </w:pPr>
            <w:r>
              <w:rPr>
                <w:rFonts w:ascii="宋体" w:hAnsi="宋体" w:cs="宋体"/>
              </w:rPr>
              <w:t>5.</w:t>
            </w:r>
            <w:r>
              <w:rPr>
                <w:rFonts w:hint="eastAsia" w:ascii="宋体" w:hAnsi="宋体" w:cs="宋体"/>
              </w:rPr>
              <w:t>要求行政机关确认或重新出具已获取信息</w:t>
            </w:r>
          </w:p>
        </w:tc>
        <w:tc>
          <w:tcPr>
            <w:tcW w:w="517" w:type="dxa"/>
            <w:tcBorders>
              <w:top w:val="nil"/>
              <w:left w:val="nil"/>
              <w:bottom w:val="outset" w:color="auto" w:sz="8" w:space="0"/>
              <w:right w:val="single" w:color="auto" w:sz="8" w:space="0"/>
            </w:tcBorders>
            <w:tcMar>
              <w:top w:w="0" w:type="dxa"/>
              <w:left w:w="60" w:type="dxa"/>
              <w:bottom w:w="0" w:type="dxa"/>
              <w:right w:w="60" w:type="dxa"/>
            </w:tcMar>
            <w:vAlign w:val="center"/>
          </w:tcPr>
          <w:p w14:paraId="2AF2C56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outset" w:color="auto" w:sz="8" w:space="0"/>
              <w:right w:val="single" w:color="auto" w:sz="8" w:space="0"/>
            </w:tcBorders>
            <w:tcMar>
              <w:top w:w="0" w:type="dxa"/>
              <w:left w:w="60" w:type="dxa"/>
              <w:bottom w:w="0" w:type="dxa"/>
              <w:right w:w="60" w:type="dxa"/>
            </w:tcMar>
            <w:vAlign w:val="center"/>
          </w:tcPr>
          <w:p w14:paraId="17F845A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outset" w:color="auto" w:sz="8" w:space="0"/>
              <w:right w:val="single" w:color="auto" w:sz="8" w:space="0"/>
            </w:tcBorders>
            <w:tcMar>
              <w:top w:w="0" w:type="dxa"/>
              <w:left w:w="60" w:type="dxa"/>
              <w:bottom w:w="0" w:type="dxa"/>
              <w:right w:w="60" w:type="dxa"/>
            </w:tcMar>
            <w:vAlign w:val="center"/>
          </w:tcPr>
          <w:p w14:paraId="4EC3A7E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outset" w:color="auto" w:sz="8" w:space="0"/>
              <w:right w:val="single" w:color="auto" w:sz="8" w:space="0"/>
            </w:tcBorders>
            <w:tcMar>
              <w:top w:w="0" w:type="dxa"/>
              <w:left w:w="60" w:type="dxa"/>
              <w:bottom w:w="0" w:type="dxa"/>
              <w:right w:w="60" w:type="dxa"/>
            </w:tcMar>
            <w:vAlign w:val="center"/>
          </w:tcPr>
          <w:p w14:paraId="3641F16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outset" w:color="auto" w:sz="8" w:space="0"/>
              <w:right w:val="single" w:color="auto" w:sz="8" w:space="0"/>
            </w:tcBorders>
            <w:tcMar>
              <w:top w:w="0" w:type="dxa"/>
              <w:left w:w="60" w:type="dxa"/>
              <w:bottom w:w="0" w:type="dxa"/>
              <w:right w:w="60" w:type="dxa"/>
            </w:tcMar>
            <w:vAlign w:val="center"/>
          </w:tcPr>
          <w:p w14:paraId="4145357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outset" w:color="auto" w:sz="8" w:space="0"/>
              <w:right w:val="single" w:color="auto" w:sz="8" w:space="0"/>
            </w:tcBorders>
            <w:tcMar>
              <w:top w:w="0" w:type="dxa"/>
              <w:left w:w="60" w:type="dxa"/>
              <w:bottom w:w="0" w:type="dxa"/>
              <w:right w:w="60" w:type="dxa"/>
            </w:tcMar>
            <w:vAlign w:val="center"/>
          </w:tcPr>
          <w:p w14:paraId="6AFEDA9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outset" w:color="auto" w:sz="8" w:space="0"/>
              <w:right w:val="single" w:color="auto" w:sz="8" w:space="0"/>
            </w:tcBorders>
            <w:tcMar>
              <w:top w:w="0" w:type="dxa"/>
              <w:left w:w="60" w:type="dxa"/>
              <w:bottom w:w="0" w:type="dxa"/>
              <w:right w:w="60" w:type="dxa"/>
            </w:tcMar>
            <w:vAlign w:val="center"/>
          </w:tcPr>
          <w:p w14:paraId="776E8795">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304D7F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0DF4188B">
            <w:pPr>
              <w:widowControl/>
              <w:spacing w:line="560" w:lineRule="exact"/>
              <w:rPr>
                <w:rFonts w:ascii="宋体" w:cs="Times New Roman"/>
                <w:sz w:val="24"/>
                <w:szCs w:val="24"/>
              </w:rPr>
            </w:pPr>
          </w:p>
        </w:tc>
        <w:tc>
          <w:tcPr>
            <w:tcW w:w="907" w:type="dxa"/>
            <w:vMerge w:val="restart"/>
            <w:tcBorders>
              <w:top w:val="nil"/>
              <w:left w:val="nil"/>
              <w:bottom w:val="outset" w:color="auto" w:sz="8" w:space="0"/>
              <w:right w:val="single" w:color="auto" w:sz="8" w:space="0"/>
            </w:tcBorders>
            <w:tcMar>
              <w:top w:w="0" w:type="dxa"/>
              <w:left w:w="60" w:type="dxa"/>
              <w:bottom w:w="0" w:type="dxa"/>
              <w:right w:w="60" w:type="dxa"/>
            </w:tcMar>
          </w:tcPr>
          <w:p w14:paraId="0FC4E2A3">
            <w:pPr>
              <w:pStyle w:val="4"/>
              <w:widowControl/>
              <w:spacing w:beforeAutospacing="0" w:afterAutospacing="0" w:line="560" w:lineRule="exact"/>
              <w:textAlignment w:val="top"/>
              <w:rPr>
                <w:rFonts w:ascii="宋体" w:cs="Times New Roman"/>
              </w:rPr>
            </w:pPr>
            <w:r>
              <w:rPr>
                <w:rFonts w:hint="eastAsia" w:ascii="宋体" w:hAnsi="宋体" w:cs="宋体"/>
              </w:rPr>
              <w:t>（六）其他处理</w:t>
            </w: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3CFAA0C8">
            <w:pPr>
              <w:pStyle w:val="4"/>
              <w:widowControl/>
              <w:spacing w:beforeAutospacing="0" w:afterAutospacing="0" w:line="560" w:lineRule="exact"/>
              <w:jc w:val="both"/>
              <w:textAlignment w:val="top"/>
              <w:rPr>
                <w:rFonts w:ascii="宋体" w:cs="Times New Roman"/>
              </w:rPr>
            </w:pPr>
            <w:r>
              <w:rPr>
                <w:rFonts w:ascii="宋体" w:hAnsi="宋体" w:cs="宋体"/>
              </w:rPr>
              <w:t>1.</w:t>
            </w:r>
            <w:r>
              <w:rPr>
                <w:rFonts w:hint="eastAsia" w:ascii="宋体" w:hAnsi="宋体" w:cs="宋体"/>
              </w:rPr>
              <w:t>申请人无正当理由逾期不补正、行政机关不再处理其政府信息公开申请</w:t>
            </w:r>
          </w:p>
        </w:tc>
        <w:tc>
          <w:tcPr>
            <w:tcW w:w="517" w:type="dxa"/>
            <w:tcBorders>
              <w:top w:val="nil"/>
              <w:left w:val="nil"/>
              <w:bottom w:val="single" w:color="auto" w:sz="8" w:space="0"/>
              <w:right w:val="single" w:color="auto" w:sz="8" w:space="0"/>
            </w:tcBorders>
            <w:tcMar>
              <w:top w:w="0" w:type="dxa"/>
              <w:left w:w="60" w:type="dxa"/>
              <w:bottom w:w="0" w:type="dxa"/>
              <w:right w:w="60" w:type="dxa"/>
            </w:tcMar>
            <w:vAlign w:val="center"/>
          </w:tcPr>
          <w:p w14:paraId="6DD7457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vAlign w:val="center"/>
          </w:tcPr>
          <w:p w14:paraId="197B69D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vAlign w:val="center"/>
          </w:tcPr>
          <w:p w14:paraId="56F83F8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2B2E93E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30C19DE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vAlign w:val="center"/>
          </w:tcPr>
          <w:p w14:paraId="351B1FC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vAlign w:val="center"/>
          </w:tcPr>
          <w:p w14:paraId="3BA65D8D">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59603F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06F39640">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44A55C86">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538C28F8">
            <w:pPr>
              <w:pStyle w:val="4"/>
              <w:widowControl/>
              <w:spacing w:beforeAutospacing="0" w:afterAutospacing="0" w:line="560" w:lineRule="exact"/>
              <w:jc w:val="both"/>
              <w:textAlignment w:val="top"/>
              <w:rPr>
                <w:rFonts w:ascii="宋体" w:cs="Times New Roman"/>
              </w:rPr>
            </w:pPr>
            <w:r>
              <w:rPr>
                <w:rFonts w:ascii="宋体" w:hAnsi="宋体" w:cs="宋体"/>
              </w:rPr>
              <w:t>2.</w:t>
            </w:r>
            <w:r>
              <w:rPr>
                <w:rFonts w:hint="eastAsia" w:ascii="宋体" w:hAnsi="宋体" w:cs="宋体"/>
              </w:rPr>
              <w:t>申请人逾期未按收费通知要求缴纳费用、行政机关不再处理其政府信息公开申请</w:t>
            </w:r>
          </w:p>
        </w:tc>
        <w:tc>
          <w:tcPr>
            <w:tcW w:w="517" w:type="dxa"/>
            <w:tcBorders>
              <w:top w:val="nil"/>
              <w:left w:val="nil"/>
              <w:bottom w:val="single" w:color="auto" w:sz="8" w:space="0"/>
              <w:right w:val="single" w:color="auto" w:sz="8" w:space="0"/>
            </w:tcBorders>
            <w:tcMar>
              <w:top w:w="0" w:type="dxa"/>
              <w:left w:w="60" w:type="dxa"/>
              <w:bottom w:w="0" w:type="dxa"/>
              <w:right w:w="60" w:type="dxa"/>
            </w:tcMar>
            <w:vAlign w:val="center"/>
          </w:tcPr>
          <w:p w14:paraId="43ADAF6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vAlign w:val="center"/>
          </w:tcPr>
          <w:p w14:paraId="4ED56EB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vAlign w:val="center"/>
          </w:tcPr>
          <w:p w14:paraId="4BEAD26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0FD9CFC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vAlign w:val="center"/>
          </w:tcPr>
          <w:p w14:paraId="6FF3D25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vAlign w:val="center"/>
          </w:tcPr>
          <w:p w14:paraId="73CB611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vAlign w:val="center"/>
          </w:tcPr>
          <w:p w14:paraId="63A3C84C">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7BB75F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62093048">
            <w:pPr>
              <w:widowControl/>
              <w:spacing w:line="560" w:lineRule="exact"/>
              <w:rPr>
                <w:rFonts w:ascii="宋体" w:cs="Times New Roman"/>
                <w:sz w:val="24"/>
                <w:szCs w:val="24"/>
              </w:rPr>
            </w:pPr>
          </w:p>
        </w:tc>
        <w:tc>
          <w:tcPr>
            <w:tcW w:w="907" w:type="dxa"/>
            <w:vMerge w:val="continue"/>
            <w:tcBorders>
              <w:top w:val="nil"/>
              <w:left w:val="nil"/>
              <w:bottom w:val="outset" w:color="auto" w:sz="8" w:space="0"/>
              <w:right w:val="single" w:color="auto" w:sz="8" w:space="0"/>
            </w:tcBorders>
            <w:tcMar>
              <w:top w:w="0" w:type="dxa"/>
              <w:left w:w="60" w:type="dxa"/>
              <w:bottom w:w="0" w:type="dxa"/>
              <w:right w:w="60" w:type="dxa"/>
            </w:tcMar>
          </w:tcPr>
          <w:p w14:paraId="0D88D635">
            <w:pPr>
              <w:widowControl/>
              <w:spacing w:line="560" w:lineRule="exact"/>
              <w:rPr>
                <w:rFonts w:ascii="宋体" w:cs="Times New Roman"/>
                <w:sz w:val="24"/>
                <w:szCs w:val="24"/>
              </w:rPr>
            </w:pPr>
          </w:p>
        </w:tc>
        <w:tc>
          <w:tcPr>
            <w:tcW w:w="2297" w:type="dxa"/>
            <w:tcBorders>
              <w:top w:val="nil"/>
              <w:left w:val="nil"/>
              <w:bottom w:val="single" w:color="auto" w:sz="8" w:space="0"/>
              <w:right w:val="single" w:color="auto" w:sz="8" w:space="0"/>
            </w:tcBorders>
            <w:tcMar>
              <w:top w:w="0" w:type="dxa"/>
              <w:left w:w="60" w:type="dxa"/>
              <w:bottom w:w="0" w:type="dxa"/>
              <w:right w:w="60" w:type="dxa"/>
            </w:tcMar>
          </w:tcPr>
          <w:p w14:paraId="0F8B5C81">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其他</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5BCCEA8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38ECCAE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5CF227F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4BC7A89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4FEB602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14B46CD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239D2324">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18A79A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7204A791">
            <w:pPr>
              <w:widowControl/>
              <w:spacing w:line="560" w:lineRule="exact"/>
              <w:rPr>
                <w:rFonts w:ascii="宋体" w:cs="Times New Roman"/>
                <w:sz w:val="24"/>
                <w:szCs w:val="24"/>
              </w:rPr>
            </w:pPr>
          </w:p>
        </w:tc>
        <w:tc>
          <w:tcPr>
            <w:tcW w:w="3204" w:type="dxa"/>
            <w:gridSpan w:val="2"/>
            <w:tcBorders>
              <w:top w:val="nil"/>
              <w:left w:val="nil"/>
              <w:bottom w:val="single" w:color="auto" w:sz="8" w:space="0"/>
              <w:right w:val="single" w:color="auto" w:sz="8" w:space="0"/>
            </w:tcBorders>
            <w:tcMar>
              <w:top w:w="0" w:type="dxa"/>
              <w:left w:w="60" w:type="dxa"/>
              <w:bottom w:w="0" w:type="dxa"/>
              <w:right w:w="60" w:type="dxa"/>
            </w:tcMar>
          </w:tcPr>
          <w:p w14:paraId="0F13A1CB">
            <w:pPr>
              <w:pStyle w:val="4"/>
              <w:widowControl/>
              <w:spacing w:beforeAutospacing="0" w:afterAutospacing="0" w:line="560" w:lineRule="exact"/>
              <w:textAlignment w:val="top"/>
              <w:rPr>
                <w:rFonts w:ascii="宋体" w:cs="Times New Roman"/>
              </w:rPr>
            </w:pPr>
            <w:r>
              <w:rPr>
                <w:rFonts w:hint="eastAsia" w:ascii="宋体" w:hAnsi="宋体" w:cs="宋体"/>
              </w:rPr>
              <w:t>（七）总计</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46D24BBA">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39AAEFC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323EE3B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63F4B02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0B7D122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136D590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1EA81F94">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0</w:t>
            </w:r>
          </w:p>
        </w:tc>
      </w:tr>
      <w:tr w14:paraId="6AAAA2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04" w:type="dxa"/>
            <w:gridSpan w:val="3"/>
            <w:tcBorders>
              <w:top w:val="nil"/>
              <w:left w:val="single" w:color="auto" w:sz="8" w:space="0"/>
              <w:bottom w:val="single" w:color="auto" w:sz="8" w:space="0"/>
              <w:right w:val="single" w:color="auto" w:sz="8" w:space="0"/>
            </w:tcBorders>
            <w:tcMar>
              <w:top w:w="0" w:type="dxa"/>
              <w:left w:w="60" w:type="dxa"/>
              <w:bottom w:w="0" w:type="dxa"/>
              <w:right w:w="60" w:type="dxa"/>
            </w:tcMar>
          </w:tcPr>
          <w:p w14:paraId="233E4A71">
            <w:pPr>
              <w:pStyle w:val="4"/>
              <w:widowControl/>
              <w:spacing w:beforeAutospacing="0" w:afterAutospacing="0" w:line="560" w:lineRule="exact"/>
              <w:textAlignment w:val="top"/>
              <w:rPr>
                <w:rFonts w:ascii="宋体" w:cs="Times New Roman"/>
              </w:rPr>
            </w:pPr>
            <w:r>
              <w:rPr>
                <w:rFonts w:hint="eastAsia" w:ascii="宋体" w:hAnsi="宋体" w:cs="宋体"/>
              </w:rPr>
              <w:t>四、结转下年度继续办理</w:t>
            </w:r>
          </w:p>
        </w:tc>
        <w:tc>
          <w:tcPr>
            <w:tcW w:w="517" w:type="dxa"/>
            <w:tcBorders>
              <w:top w:val="nil"/>
              <w:left w:val="nil"/>
              <w:bottom w:val="single" w:color="auto" w:sz="8" w:space="0"/>
              <w:right w:val="single" w:color="auto" w:sz="8" w:space="0"/>
            </w:tcBorders>
            <w:tcMar>
              <w:top w:w="0" w:type="dxa"/>
              <w:left w:w="60" w:type="dxa"/>
              <w:bottom w:w="0" w:type="dxa"/>
              <w:right w:w="60" w:type="dxa"/>
            </w:tcMar>
          </w:tcPr>
          <w:p w14:paraId="0BA9CE2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870" w:type="dxa"/>
            <w:tcBorders>
              <w:top w:val="nil"/>
              <w:left w:val="nil"/>
              <w:bottom w:val="single" w:color="auto" w:sz="8" w:space="0"/>
              <w:right w:val="single" w:color="auto" w:sz="8" w:space="0"/>
            </w:tcBorders>
            <w:tcMar>
              <w:top w:w="0" w:type="dxa"/>
              <w:left w:w="60" w:type="dxa"/>
              <w:bottom w:w="0" w:type="dxa"/>
              <w:right w:w="60" w:type="dxa"/>
            </w:tcMar>
          </w:tcPr>
          <w:p w14:paraId="50E8E78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780" w:type="dxa"/>
            <w:tcBorders>
              <w:top w:val="nil"/>
              <w:left w:val="nil"/>
              <w:bottom w:val="single" w:color="auto" w:sz="8" w:space="0"/>
              <w:right w:val="single" w:color="auto" w:sz="8" w:space="0"/>
            </w:tcBorders>
            <w:tcMar>
              <w:top w:w="0" w:type="dxa"/>
              <w:left w:w="60" w:type="dxa"/>
              <w:bottom w:w="0" w:type="dxa"/>
              <w:right w:w="60" w:type="dxa"/>
            </w:tcMar>
          </w:tcPr>
          <w:p w14:paraId="52EF894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2218EC4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1" w:type="dxa"/>
            <w:tcBorders>
              <w:top w:val="nil"/>
              <w:left w:val="nil"/>
              <w:bottom w:val="single" w:color="auto" w:sz="8" w:space="0"/>
              <w:right w:val="single" w:color="auto" w:sz="8" w:space="0"/>
            </w:tcBorders>
            <w:tcMar>
              <w:top w:w="0" w:type="dxa"/>
              <w:left w:w="60" w:type="dxa"/>
              <w:bottom w:w="0" w:type="dxa"/>
              <w:right w:w="60" w:type="dxa"/>
            </w:tcMar>
          </w:tcPr>
          <w:p w14:paraId="345CA2A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62" w:type="dxa"/>
            <w:tcBorders>
              <w:top w:val="nil"/>
              <w:left w:val="nil"/>
              <w:bottom w:val="single" w:color="auto" w:sz="8" w:space="0"/>
              <w:right w:val="single" w:color="auto" w:sz="8" w:space="0"/>
            </w:tcBorders>
            <w:tcMar>
              <w:top w:w="0" w:type="dxa"/>
              <w:left w:w="60" w:type="dxa"/>
              <w:bottom w:w="0" w:type="dxa"/>
              <w:right w:w="60" w:type="dxa"/>
            </w:tcMar>
          </w:tcPr>
          <w:p w14:paraId="106AE66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908" w:type="dxa"/>
            <w:tcBorders>
              <w:top w:val="nil"/>
              <w:left w:val="nil"/>
              <w:bottom w:val="single" w:color="auto" w:sz="8" w:space="0"/>
              <w:right w:val="single" w:color="auto" w:sz="8" w:space="0"/>
            </w:tcBorders>
            <w:tcMar>
              <w:top w:w="0" w:type="dxa"/>
              <w:left w:w="60" w:type="dxa"/>
              <w:bottom w:w="0" w:type="dxa"/>
              <w:right w:w="60" w:type="dxa"/>
            </w:tcMar>
          </w:tcPr>
          <w:p w14:paraId="79ADED2C">
            <w:pPr>
              <w:widowControl/>
              <w:spacing w:line="560" w:lineRule="exact"/>
              <w:jc w:val="center"/>
              <w:textAlignment w:val="top"/>
              <w:rPr>
                <w:rFonts w:ascii="宋体" w:cs="Times New Roman"/>
                <w:sz w:val="24"/>
                <w:szCs w:val="24"/>
              </w:rPr>
            </w:pPr>
            <w:r>
              <w:rPr>
                <w:rFonts w:ascii="宋体" w:cs="宋体"/>
                <w:kern w:val="0"/>
                <w:sz w:val="24"/>
                <w:szCs w:val="24"/>
              </w:rPr>
              <w:t>0</w:t>
            </w:r>
          </w:p>
        </w:tc>
      </w:tr>
    </w:tbl>
    <w:p w14:paraId="1920A676">
      <w:pPr>
        <w:widowControl/>
        <w:spacing w:line="560" w:lineRule="exact"/>
        <w:ind w:firstLine="640" w:firstLineChars="200"/>
        <w:jc w:val="left"/>
        <w:rPr>
          <w:rFonts w:ascii="宋体" w:cs="Times New Roman"/>
          <w:color w:val="000000"/>
          <w:sz w:val="24"/>
          <w:szCs w:val="24"/>
        </w:rPr>
      </w:pPr>
      <w:r>
        <w:rPr>
          <w:rFonts w:ascii="黑体" w:hAnsi="宋体" w:eastAsia="黑体" w:cs="Times New Roman"/>
          <w:color w:val="000000"/>
          <w:kern w:val="0"/>
          <w:sz w:val="32"/>
          <w:szCs w:val="32"/>
        </w:rPr>
        <w:t> </w:t>
      </w:r>
      <w:r>
        <w:rPr>
          <w:rFonts w:hint="eastAsia" w:ascii="黑体" w:hAnsi="宋体" w:eastAsia="黑体" w:cs="黑体"/>
          <w:color w:val="000000"/>
          <w:kern w:val="0"/>
          <w:sz w:val="32"/>
          <w:szCs w:val="32"/>
        </w:rPr>
        <w:t>四、因政府信息公开申请行政复议、提起行政诉讼的情况</w:t>
      </w:r>
    </w:p>
    <w:tbl>
      <w:tblPr>
        <w:tblStyle w:val="5"/>
        <w:tblW w:w="8520" w:type="dxa"/>
        <w:jc w:val="center"/>
        <w:tblLayout w:type="autofit"/>
        <w:tblCellMar>
          <w:top w:w="15" w:type="dxa"/>
          <w:left w:w="15" w:type="dxa"/>
          <w:bottom w:w="15" w:type="dxa"/>
          <w:right w:w="15" w:type="dxa"/>
        </w:tblCellMar>
      </w:tblPr>
      <w:tblGrid>
        <w:gridCol w:w="456"/>
        <w:gridCol w:w="456"/>
        <w:gridCol w:w="456"/>
        <w:gridCol w:w="456"/>
        <w:gridCol w:w="456"/>
        <w:gridCol w:w="1680"/>
        <w:gridCol w:w="456"/>
        <w:gridCol w:w="456"/>
        <w:gridCol w:w="456"/>
        <w:gridCol w:w="456"/>
        <w:gridCol w:w="456"/>
        <w:gridCol w:w="456"/>
        <w:gridCol w:w="456"/>
        <w:gridCol w:w="456"/>
        <w:gridCol w:w="456"/>
        <w:gridCol w:w="456"/>
      </w:tblGrid>
      <w:tr w14:paraId="1E1BA576">
        <w:tblPrEx>
          <w:tblCellMar>
            <w:top w:w="15" w:type="dxa"/>
            <w:left w:w="15" w:type="dxa"/>
            <w:bottom w:w="15" w:type="dxa"/>
            <w:right w:w="15" w:type="dxa"/>
          </w:tblCellMar>
        </w:tblPrEx>
        <w:trPr>
          <w:jc w:val="center"/>
        </w:trPr>
        <w:tc>
          <w:tcPr>
            <w:tcW w:w="170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5FEA05">
            <w:pPr>
              <w:widowControl/>
              <w:spacing w:line="560" w:lineRule="exact"/>
              <w:jc w:val="center"/>
              <w:rPr>
                <w:rFonts w:ascii="宋体" w:cs="Times New Roman"/>
                <w:sz w:val="24"/>
                <w:szCs w:val="24"/>
              </w:rPr>
            </w:pPr>
            <w:r>
              <w:rPr>
                <w:rFonts w:hint="eastAsia" w:ascii="宋体" w:hAnsi="宋体" w:cs="宋体"/>
                <w:kern w:val="0"/>
                <w:sz w:val="24"/>
                <w:szCs w:val="24"/>
              </w:rPr>
              <w:t>行政复议</w:t>
            </w:r>
          </w:p>
        </w:tc>
        <w:tc>
          <w:tcPr>
            <w:tcW w:w="34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43E384">
            <w:pPr>
              <w:widowControl/>
              <w:spacing w:line="560" w:lineRule="exact"/>
              <w:jc w:val="center"/>
              <w:rPr>
                <w:rFonts w:hint="eastAsia" w:ascii="宋体" w:hAnsi="宋体" w:cs="宋体"/>
                <w:kern w:val="0"/>
                <w:sz w:val="24"/>
                <w:szCs w:val="24"/>
              </w:rPr>
            </w:pPr>
          </w:p>
        </w:tc>
        <w:tc>
          <w:tcPr>
            <w:tcW w:w="340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71707E">
            <w:pPr>
              <w:widowControl/>
              <w:spacing w:line="560" w:lineRule="exact"/>
              <w:jc w:val="center"/>
              <w:rPr>
                <w:rFonts w:ascii="宋体" w:cs="Times New Roman"/>
                <w:sz w:val="24"/>
                <w:szCs w:val="24"/>
              </w:rPr>
            </w:pPr>
            <w:r>
              <w:rPr>
                <w:rFonts w:hint="eastAsia" w:ascii="宋体" w:hAnsi="宋体" w:cs="宋体"/>
                <w:kern w:val="0"/>
                <w:sz w:val="24"/>
                <w:szCs w:val="24"/>
              </w:rPr>
              <w:t>行政诉讼</w:t>
            </w:r>
          </w:p>
        </w:tc>
      </w:tr>
      <w:tr w14:paraId="476B7A0E">
        <w:tblPrEx>
          <w:tblCellMar>
            <w:top w:w="15" w:type="dxa"/>
            <w:left w:w="15" w:type="dxa"/>
            <w:bottom w:w="15" w:type="dxa"/>
            <w:right w:w="15" w:type="dxa"/>
          </w:tblCellMar>
        </w:tblPrEx>
        <w:trPr>
          <w:trHeight w:val="355" w:hRule="atLeast"/>
          <w:jc w:val="center"/>
        </w:trPr>
        <w:tc>
          <w:tcPr>
            <w:tcW w:w="34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725A0F">
            <w:pPr>
              <w:widowControl/>
              <w:spacing w:line="560" w:lineRule="exact"/>
              <w:jc w:val="center"/>
              <w:rPr>
                <w:rFonts w:ascii="宋体" w:cs="Times New Roman"/>
                <w:sz w:val="24"/>
                <w:szCs w:val="24"/>
              </w:rPr>
            </w:pPr>
            <w:r>
              <w:rPr>
                <w:rFonts w:hint="eastAsia" w:ascii="宋体" w:hAnsi="宋体" w:cs="宋体"/>
                <w:kern w:val="0"/>
                <w:sz w:val="24"/>
                <w:szCs w:val="24"/>
              </w:rPr>
              <w:t>结果维持</w:t>
            </w:r>
          </w:p>
        </w:tc>
        <w:tc>
          <w:tcPr>
            <w:tcW w:w="34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16754F9">
            <w:pPr>
              <w:widowControl/>
              <w:spacing w:line="560" w:lineRule="exact"/>
              <w:jc w:val="center"/>
              <w:rPr>
                <w:rFonts w:ascii="宋体" w:cs="Times New Roman"/>
                <w:sz w:val="24"/>
                <w:szCs w:val="24"/>
              </w:rPr>
            </w:pPr>
            <w:r>
              <w:rPr>
                <w:rFonts w:hint="eastAsia" w:ascii="宋体" w:hAnsi="宋体" w:cs="宋体"/>
                <w:kern w:val="0"/>
                <w:sz w:val="24"/>
                <w:szCs w:val="24"/>
              </w:rPr>
              <w:t>结果纠正</w:t>
            </w:r>
          </w:p>
        </w:tc>
        <w:tc>
          <w:tcPr>
            <w:tcW w:w="34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A8B914">
            <w:pPr>
              <w:widowControl/>
              <w:spacing w:line="560" w:lineRule="exact"/>
              <w:jc w:val="center"/>
              <w:rPr>
                <w:rFonts w:ascii="宋体" w:cs="Times New Roman"/>
                <w:sz w:val="24"/>
                <w:szCs w:val="24"/>
              </w:rPr>
            </w:pPr>
            <w:r>
              <w:rPr>
                <w:rFonts w:hint="eastAsia" w:ascii="宋体" w:hAnsi="宋体" w:cs="宋体"/>
                <w:kern w:val="0"/>
                <w:sz w:val="24"/>
                <w:szCs w:val="24"/>
              </w:rPr>
              <w:t>其他结果</w:t>
            </w:r>
          </w:p>
        </w:tc>
        <w:tc>
          <w:tcPr>
            <w:tcW w:w="34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9184AF2">
            <w:pPr>
              <w:widowControl/>
              <w:spacing w:line="560" w:lineRule="exact"/>
              <w:jc w:val="center"/>
              <w:rPr>
                <w:rFonts w:ascii="宋体" w:cs="Times New Roman"/>
                <w:sz w:val="24"/>
                <w:szCs w:val="24"/>
              </w:rPr>
            </w:pPr>
            <w:r>
              <w:rPr>
                <w:rFonts w:hint="eastAsia" w:ascii="宋体" w:hAnsi="宋体" w:cs="宋体"/>
                <w:kern w:val="0"/>
                <w:sz w:val="24"/>
                <w:szCs w:val="24"/>
              </w:rPr>
              <w:t>尚未审结</w:t>
            </w:r>
          </w:p>
        </w:tc>
        <w:tc>
          <w:tcPr>
            <w:tcW w:w="34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B7857AE">
            <w:pPr>
              <w:widowControl/>
              <w:spacing w:line="560" w:lineRule="exact"/>
              <w:jc w:val="center"/>
              <w:rPr>
                <w:rFonts w:ascii="宋体" w:cs="Times New Roman"/>
                <w:sz w:val="24"/>
                <w:szCs w:val="24"/>
              </w:rPr>
            </w:pPr>
            <w:r>
              <w:rPr>
                <w:rFonts w:hint="eastAsia" w:ascii="宋体" w:hAnsi="宋体" w:cs="宋体"/>
                <w:kern w:val="0"/>
                <w:sz w:val="24"/>
                <w:szCs w:val="24"/>
              </w:rPr>
              <w:t>总计</w:t>
            </w:r>
          </w:p>
        </w:tc>
        <w:tc>
          <w:tcPr>
            <w:tcW w:w="34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8305FE">
            <w:pPr>
              <w:widowControl/>
              <w:spacing w:line="560" w:lineRule="exact"/>
              <w:jc w:val="center"/>
              <w:rPr>
                <w:rFonts w:hint="eastAsia" w:ascii="宋体" w:hAnsi="宋体" w:cs="宋体"/>
                <w:kern w:val="0"/>
                <w:sz w:val="24"/>
                <w:szCs w:val="24"/>
              </w:rPr>
            </w:pPr>
          </w:p>
        </w:tc>
        <w:tc>
          <w:tcPr>
            <w:tcW w:w="170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EF6FE7">
            <w:pPr>
              <w:widowControl/>
              <w:spacing w:line="560" w:lineRule="exact"/>
              <w:jc w:val="center"/>
              <w:rPr>
                <w:rFonts w:ascii="宋体" w:cs="Times New Roman"/>
                <w:sz w:val="24"/>
                <w:szCs w:val="24"/>
              </w:rPr>
            </w:pPr>
            <w:r>
              <w:rPr>
                <w:rFonts w:hint="eastAsia" w:ascii="宋体" w:hAnsi="宋体" w:cs="宋体"/>
                <w:kern w:val="0"/>
                <w:sz w:val="24"/>
                <w:szCs w:val="24"/>
              </w:rPr>
              <w:t>未经复议直接起诉</w:t>
            </w:r>
          </w:p>
        </w:tc>
        <w:tc>
          <w:tcPr>
            <w:tcW w:w="170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4082BC0">
            <w:pPr>
              <w:widowControl/>
              <w:spacing w:line="560" w:lineRule="exact"/>
              <w:jc w:val="center"/>
              <w:rPr>
                <w:rFonts w:ascii="宋体" w:cs="Times New Roman"/>
                <w:sz w:val="24"/>
                <w:szCs w:val="24"/>
              </w:rPr>
            </w:pPr>
            <w:r>
              <w:rPr>
                <w:rFonts w:hint="eastAsia" w:ascii="宋体" w:hAnsi="宋体" w:cs="宋体"/>
                <w:kern w:val="0"/>
                <w:sz w:val="24"/>
                <w:szCs w:val="24"/>
              </w:rPr>
              <w:t>复议后起诉</w:t>
            </w:r>
          </w:p>
        </w:tc>
      </w:tr>
      <w:tr w14:paraId="1332E067">
        <w:tblPrEx>
          <w:tblCellMar>
            <w:top w:w="15" w:type="dxa"/>
            <w:left w:w="15" w:type="dxa"/>
            <w:bottom w:w="15" w:type="dxa"/>
            <w:right w:w="15" w:type="dxa"/>
          </w:tblCellMar>
        </w:tblPrEx>
        <w:trPr>
          <w:jc w:val="center"/>
        </w:trPr>
        <w:tc>
          <w:tcPr>
            <w:tcW w:w="34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246E2E">
            <w:pPr>
              <w:widowControl/>
              <w:spacing w:line="560" w:lineRule="exact"/>
              <w:rPr>
                <w:rFonts w:ascii="宋体" w:cs="Times New Roman"/>
                <w:sz w:val="24"/>
                <w:szCs w:val="24"/>
              </w:rPr>
            </w:pPr>
          </w:p>
        </w:tc>
        <w:tc>
          <w:tcPr>
            <w:tcW w:w="340"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3B03789D">
            <w:pPr>
              <w:widowControl/>
              <w:spacing w:line="560" w:lineRule="exact"/>
              <w:rPr>
                <w:rFonts w:ascii="宋体" w:cs="Times New Roman"/>
                <w:sz w:val="24"/>
                <w:szCs w:val="24"/>
              </w:rPr>
            </w:pPr>
          </w:p>
        </w:tc>
        <w:tc>
          <w:tcPr>
            <w:tcW w:w="34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C198F85">
            <w:pPr>
              <w:widowControl/>
              <w:spacing w:line="560" w:lineRule="exact"/>
              <w:rPr>
                <w:rFonts w:ascii="宋体" w:cs="Times New Roman"/>
                <w:sz w:val="24"/>
                <w:szCs w:val="24"/>
              </w:rPr>
            </w:pPr>
          </w:p>
        </w:tc>
        <w:tc>
          <w:tcPr>
            <w:tcW w:w="34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2EBAB4">
            <w:pPr>
              <w:widowControl/>
              <w:spacing w:line="560" w:lineRule="exact"/>
              <w:rPr>
                <w:rFonts w:ascii="宋体" w:cs="Times New Roman"/>
                <w:sz w:val="24"/>
                <w:szCs w:val="24"/>
              </w:rPr>
            </w:pPr>
          </w:p>
        </w:tc>
        <w:tc>
          <w:tcPr>
            <w:tcW w:w="344"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B9DCF1">
            <w:pPr>
              <w:widowControl/>
              <w:spacing w:line="560" w:lineRule="exact"/>
              <w:rPr>
                <w:rFonts w:ascii="宋体" w:cs="Times New Roman"/>
                <w:sz w:val="24"/>
                <w:szCs w:val="24"/>
              </w:rPr>
            </w:pP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4CC7F97E">
            <w:pPr>
              <w:widowControl/>
              <w:spacing w:line="560" w:lineRule="exact"/>
              <w:jc w:val="center"/>
              <w:rPr>
                <w:rFonts w:hint="eastAsia" w:ascii="宋体" w:hAnsi="宋体" w:cs="宋体"/>
                <w:kern w:val="0"/>
                <w:sz w:val="24"/>
                <w:szCs w:val="24"/>
              </w:rPr>
            </w:pP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F1A3C8">
            <w:pPr>
              <w:widowControl/>
              <w:spacing w:line="560" w:lineRule="exact"/>
              <w:jc w:val="center"/>
              <w:rPr>
                <w:rFonts w:ascii="宋体" w:cs="Times New Roman"/>
                <w:sz w:val="24"/>
                <w:szCs w:val="24"/>
              </w:rPr>
            </w:pPr>
            <w:r>
              <w:rPr>
                <w:rFonts w:hint="eastAsia" w:ascii="宋体" w:hAnsi="宋体" w:cs="宋体"/>
                <w:kern w:val="0"/>
                <w:sz w:val="24"/>
                <w:szCs w:val="24"/>
              </w:rPr>
              <w:t>结果维持</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F489F6">
            <w:pPr>
              <w:widowControl/>
              <w:spacing w:line="560" w:lineRule="exact"/>
              <w:jc w:val="center"/>
              <w:rPr>
                <w:rFonts w:ascii="宋体" w:cs="Times New Roman"/>
                <w:sz w:val="24"/>
                <w:szCs w:val="24"/>
              </w:rPr>
            </w:pPr>
            <w:r>
              <w:rPr>
                <w:rFonts w:hint="eastAsia" w:ascii="宋体" w:hAnsi="宋体" w:cs="宋体"/>
                <w:kern w:val="0"/>
                <w:sz w:val="24"/>
                <w:szCs w:val="24"/>
              </w:rPr>
              <w:t>结果纠正</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01D077">
            <w:pPr>
              <w:widowControl/>
              <w:spacing w:line="560" w:lineRule="exact"/>
              <w:jc w:val="center"/>
              <w:rPr>
                <w:rFonts w:ascii="宋体" w:cs="Times New Roman"/>
                <w:sz w:val="24"/>
                <w:szCs w:val="24"/>
              </w:rPr>
            </w:pPr>
            <w:r>
              <w:rPr>
                <w:rFonts w:hint="eastAsia" w:ascii="宋体" w:hAnsi="宋体" w:cs="宋体"/>
                <w:kern w:val="0"/>
                <w:sz w:val="24"/>
                <w:szCs w:val="24"/>
              </w:rPr>
              <w:t>其他结果</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6B12E3">
            <w:pPr>
              <w:widowControl/>
              <w:spacing w:line="560" w:lineRule="exact"/>
              <w:jc w:val="center"/>
              <w:rPr>
                <w:rFonts w:ascii="宋体" w:cs="Times New Roman"/>
                <w:sz w:val="24"/>
                <w:szCs w:val="24"/>
              </w:rPr>
            </w:pPr>
            <w:r>
              <w:rPr>
                <w:rFonts w:hint="eastAsia" w:ascii="宋体" w:hAnsi="宋体" w:cs="宋体"/>
                <w:kern w:val="0"/>
                <w:sz w:val="24"/>
                <w:szCs w:val="24"/>
              </w:rPr>
              <w:t>尚未审结</w:t>
            </w:r>
          </w:p>
        </w:tc>
        <w:tc>
          <w:tcPr>
            <w:tcW w:w="3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16E04F">
            <w:pPr>
              <w:widowControl/>
              <w:spacing w:line="560" w:lineRule="exact"/>
              <w:jc w:val="center"/>
              <w:rPr>
                <w:rFonts w:ascii="宋体" w:cs="Times New Roman"/>
                <w:sz w:val="24"/>
                <w:szCs w:val="24"/>
              </w:rPr>
            </w:pPr>
            <w:r>
              <w:rPr>
                <w:rFonts w:hint="eastAsia" w:ascii="宋体" w:hAnsi="宋体" w:cs="宋体"/>
                <w:kern w:val="0"/>
                <w:sz w:val="24"/>
                <w:szCs w:val="24"/>
              </w:rPr>
              <w:t>总计</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CD89B5C">
            <w:pPr>
              <w:widowControl/>
              <w:spacing w:line="560" w:lineRule="exact"/>
              <w:jc w:val="center"/>
              <w:rPr>
                <w:rFonts w:ascii="宋体" w:cs="Times New Roman"/>
                <w:sz w:val="24"/>
                <w:szCs w:val="24"/>
              </w:rPr>
            </w:pPr>
            <w:r>
              <w:rPr>
                <w:rFonts w:hint="eastAsia" w:ascii="宋体" w:hAnsi="宋体" w:cs="宋体"/>
                <w:kern w:val="0"/>
                <w:sz w:val="24"/>
                <w:szCs w:val="24"/>
              </w:rPr>
              <w:t>结果维持</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C242ACE">
            <w:pPr>
              <w:widowControl/>
              <w:spacing w:line="560" w:lineRule="exact"/>
              <w:jc w:val="center"/>
              <w:rPr>
                <w:rFonts w:ascii="宋体" w:cs="Times New Roman"/>
                <w:sz w:val="24"/>
                <w:szCs w:val="24"/>
              </w:rPr>
            </w:pPr>
            <w:r>
              <w:rPr>
                <w:rFonts w:hint="eastAsia" w:ascii="宋体" w:hAnsi="宋体" w:cs="宋体"/>
                <w:kern w:val="0"/>
                <w:sz w:val="24"/>
                <w:szCs w:val="24"/>
              </w:rPr>
              <w:t>结果纠正</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30EB87">
            <w:pPr>
              <w:widowControl/>
              <w:spacing w:line="560" w:lineRule="exact"/>
              <w:jc w:val="center"/>
              <w:rPr>
                <w:rFonts w:ascii="宋体" w:cs="Times New Roman"/>
                <w:sz w:val="24"/>
                <w:szCs w:val="24"/>
              </w:rPr>
            </w:pPr>
            <w:r>
              <w:rPr>
                <w:rFonts w:hint="eastAsia" w:ascii="宋体" w:hAnsi="宋体" w:cs="宋体"/>
                <w:kern w:val="0"/>
                <w:sz w:val="24"/>
                <w:szCs w:val="24"/>
              </w:rPr>
              <w:t>其他结果</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4BCFE2">
            <w:pPr>
              <w:widowControl/>
              <w:spacing w:line="560" w:lineRule="exact"/>
              <w:jc w:val="center"/>
              <w:rPr>
                <w:rFonts w:ascii="宋体" w:cs="Times New Roman"/>
                <w:sz w:val="24"/>
                <w:szCs w:val="24"/>
              </w:rPr>
            </w:pPr>
            <w:r>
              <w:rPr>
                <w:rFonts w:hint="eastAsia" w:ascii="宋体" w:hAnsi="宋体" w:cs="宋体"/>
                <w:kern w:val="0"/>
                <w:sz w:val="24"/>
                <w:szCs w:val="24"/>
              </w:rPr>
              <w:t>尚未审结</w:t>
            </w:r>
          </w:p>
        </w:tc>
        <w:tc>
          <w:tcPr>
            <w:tcW w:w="3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344E64">
            <w:pPr>
              <w:widowControl/>
              <w:spacing w:line="560" w:lineRule="exact"/>
              <w:jc w:val="center"/>
              <w:rPr>
                <w:rFonts w:ascii="宋体" w:cs="Times New Roman"/>
                <w:sz w:val="24"/>
                <w:szCs w:val="24"/>
              </w:rPr>
            </w:pPr>
            <w:r>
              <w:rPr>
                <w:rFonts w:hint="eastAsia" w:ascii="宋体" w:hAnsi="宋体" w:cs="宋体"/>
                <w:kern w:val="0"/>
                <w:sz w:val="24"/>
                <w:szCs w:val="24"/>
              </w:rPr>
              <w:t>总计</w:t>
            </w:r>
          </w:p>
        </w:tc>
      </w:tr>
      <w:tr w14:paraId="6E06AEA3">
        <w:tblPrEx>
          <w:tblCellMar>
            <w:top w:w="15" w:type="dxa"/>
            <w:left w:w="15" w:type="dxa"/>
            <w:bottom w:w="15" w:type="dxa"/>
            <w:right w:w="15" w:type="dxa"/>
          </w:tblCellMar>
        </w:tblPrEx>
        <w:trPr>
          <w:trHeight w:val="715" w:hRule="atLeast"/>
          <w:jc w:val="center"/>
        </w:trPr>
        <w:tc>
          <w:tcPr>
            <w:tcW w:w="3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57A258">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0BF18B">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E2B6C2">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075AE68D">
            <w:pPr>
              <w:widowControl/>
              <w:spacing w:line="560" w:lineRule="exact"/>
              <w:jc w:val="center"/>
              <w:rPr>
                <w:rFonts w:ascii="宋体" w:cs="Times New Roman"/>
                <w:sz w:val="24"/>
                <w:szCs w:val="24"/>
              </w:rPr>
            </w:pPr>
            <w:r>
              <w:rPr>
                <w:rFonts w:ascii="宋体" w:cs="宋体"/>
                <w:kern w:val="0"/>
                <w:sz w:val="24"/>
                <w:szCs w:val="24"/>
              </w:rPr>
              <w:t>0</w:t>
            </w:r>
          </w:p>
        </w:tc>
        <w:tc>
          <w:tcPr>
            <w:tcW w:w="344" w:type="dxa"/>
            <w:tcBorders>
              <w:top w:val="nil"/>
              <w:left w:val="nil"/>
              <w:bottom w:val="single" w:color="auto" w:sz="8" w:space="0"/>
              <w:right w:val="single" w:color="auto" w:sz="8" w:space="0"/>
            </w:tcBorders>
            <w:tcMar>
              <w:top w:w="0" w:type="dxa"/>
              <w:left w:w="108" w:type="dxa"/>
              <w:bottom w:w="0" w:type="dxa"/>
              <w:right w:w="108" w:type="dxa"/>
            </w:tcMar>
            <w:vAlign w:val="center"/>
          </w:tcPr>
          <w:p w14:paraId="5BB5B7B7">
            <w:pPr>
              <w:widowControl/>
              <w:spacing w:line="560" w:lineRule="exact"/>
              <w:jc w:val="center"/>
              <w:rPr>
                <w:rFonts w:ascii="宋体" w:cs="Times New Roman"/>
                <w:sz w:val="24"/>
                <w:szCs w:val="24"/>
              </w:rPr>
            </w:pPr>
            <w:r>
              <w:rPr>
                <w:rFonts w:ascii="宋体" w:cs="宋体"/>
                <w:kern w:val="0"/>
                <w:sz w:val="24"/>
                <w:szCs w:val="24"/>
              </w:rPr>
              <w:t>0</w:t>
            </w: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142FC2BB">
            <w:pPr>
              <w:widowControl/>
              <w:spacing w:line="560" w:lineRule="exact"/>
              <w:jc w:val="center"/>
              <w:rPr>
                <w:rFonts w:hint="eastAsia" w:ascii="宋体" w:hAnsi="宋体" w:cs="宋体"/>
                <w:kern w:val="0"/>
                <w:sz w:val="24"/>
                <w:szCs w:val="24"/>
                <w:lang w:val="en-US" w:eastAsia="zh-CN"/>
              </w:rPr>
            </w:pP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73BE5422">
            <w:pPr>
              <w:widowControl/>
              <w:spacing w:line="560" w:lineRule="exact"/>
              <w:jc w:val="center"/>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06558C">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205E4A71">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868BD0">
            <w:pPr>
              <w:widowControl/>
              <w:spacing w:line="560" w:lineRule="exact"/>
              <w:jc w:val="center"/>
              <w:rPr>
                <w:rFonts w:ascii="宋体" w:cs="Times New Roman"/>
                <w:sz w:val="24"/>
                <w:szCs w:val="24"/>
              </w:rPr>
            </w:pPr>
            <w:r>
              <w:rPr>
                <w:rFonts w:ascii="宋体" w:cs="宋体"/>
                <w:kern w:val="0"/>
                <w:sz w:val="24"/>
                <w:szCs w:val="24"/>
              </w:rPr>
              <w:t>0</w:t>
            </w:r>
          </w:p>
        </w:tc>
        <w:tc>
          <w:tcPr>
            <w:tcW w:w="344" w:type="dxa"/>
            <w:tcBorders>
              <w:top w:val="nil"/>
              <w:left w:val="nil"/>
              <w:bottom w:val="single" w:color="auto" w:sz="8" w:space="0"/>
              <w:right w:val="single" w:color="auto" w:sz="8" w:space="0"/>
            </w:tcBorders>
            <w:tcMar>
              <w:top w:w="0" w:type="dxa"/>
              <w:left w:w="108" w:type="dxa"/>
              <w:bottom w:w="0" w:type="dxa"/>
              <w:right w:w="108" w:type="dxa"/>
            </w:tcMar>
            <w:vAlign w:val="center"/>
          </w:tcPr>
          <w:p w14:paraId="0243525C">
            <w:pPr>
              <w:widowControl/>
              <w:spacing w:line="560" w:lineRule="exact"/>
              <w:jc w:val="center"/>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72DA8B">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A2AF43">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4EE29D">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48A41555">
            <w:pPr>
              <w:widowControl/>
              <w:spacing w:line="560" w:lineRule="exact"/>
              <w:jc w:val="center"/>
              <w:rPr>
                <w:rFonts w:ascii="宋体" w:cs="Times New Roman"/>
                <w:sz w:val="24"/>
                <w:szCs w:val="24"/>
              </w:rPr>
            </w:pPr>
            <w:r>
              <w:rPr>
                <w:rFonts w:ascii="宋体" w:cs="宋体"/>
                <w:kern w:val="0"/>
                <w:sz w:val="24"/>
                <w:szCs w:val="24"/>
              </w:rPr>
              <w:t>0</w:t>
            </w:r>
          </w:p>
        </w:tc>
        <w:tc>
          <w:tcPr>
            <w:tcW w:w="344" w:type="dxa"/>
            <w:tcBorders>
              <w:top w:val="nil"/>
              <w:left w:val="nil"/>
              <w:bottom w:val="single" w:color="auto" w:sz="8" w:space="0"/>
              <w:right w:val="single" w:color="auto" w:sz="8" w:space="0"/>
            </w:tcBorders>
            <w:tcMar>
              <w:top w:w="0" w:type="dxa"/>
              <w:left w:w="108" w:type="dxa"/>
              <w:bottom w:w="0" w:type="dxa"/>
              <w:right w:w="108" w:type="dxa"/>
            </w:tcMar>
            <w:vAlign w:val="center"/>
          </w:tcPr>
          <w:p w14:paraId="12DE7C3E">
            <w:pPr>
              <w:widowControl/>
              <w:spacing w:line="560" w:lineRule="exact"/>
              <w:jc w:val="center"/>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r>
    </w:tbl>
    <w:p w14:paraId="7DCF6843">
      <w:pPr>
        <w:widowControl/>
        <w:spacing w:line="560" w:lineRule="exact"/>
        <w:ind w:firstLine="640" w:firstLineChars="200"/>
        <w:jc w:val="left"/>
        <w:rPr>
          <w:rFonts w:ascii="宋体" w:cs="Times New Roman"/>
          <w:color w:val="000000"/>
          <w:sz w:val="24"/>
          <w:szCs w:val="24"/>
        </w:rPr>
      </w:pPr>
      <w:r>
        <w:rPr>
          <w:rFonts w:hint="eastAsia" w:ascii="黑体" w:hAnsi="宋体" w:eastAsia="黑体" w:cs="黑体"/>
          <w:color w:val="000000"/>
          <w:kern w:val="0"/>
          <w:sz w:val="32"/>
          <w:szCs w:val="32"/>
        </w:rPr>
        <w:t>五、存在的主要问题及改进情况</w:t>
      </w:r>
    </w:p>
    <w:p w14:paraId="5CCF9885">
      <w:pPr>
        <w:widowControl/>
        <w:spacing w:line="560" w:lineRule="exact"/>
        <w:ind w:firstLine="643" w:firstLineChars="200"/>
        <w:jc w:val="both"/>
        <w:rPr>
          <w:rFonts w:ascii="宋体" w:cs="Times New Roman"/>
          <w:color w:val="000000"/>
          <w:sz w:val="24"/>
          <w:szCs w:val="24"/>
        </w:rPr>
      </w:pPr>
      <w:r>
        <w:rPr>
          <w:rFonts w:hint="eastAsia" w:ascii="楷体_GB2312" w:hAnsi="宋体" w:eastAsia="楷体_GB2312" w:cs="楷体_GB2312"/>
          <w:b/>
          <w:bCs/>
          <w:color w:val="000000"/>
          <w:kern w:val="0"/>
          <w:sz w:val="32"/>
          <w:szCs w:val="32"/>
        </w:rPr>
        <w:t>（一）主要问题</w:t>
      </w:r>
    </w:p>
    <w:p w14:paraId="03CFCBF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一是政府信息公开的主动性、及时性还不够，公开力度还不够大，存在个别遗漏现象。二是政府信息公开宣传教育力度不够大，群众对政府信息公开的知晓率和参与度还有待提高。三是信息公开工作人员力量和业务能力还有待进一步补强。</w:t>
      </w:r>
    </w:p>
    <w:p w14:paraId="3D218C0A">
      <w:pPr>
        <w:widowControl/>
        <w:spacing w:line="560" w:lineRule="exact"/>
        <w:ind w:firstLine="643" w:firstLineChars="200"/>
        <w:jc w:val="both"/>
        <w:rPr>
          <w:rFonts w:ascii="宋体" w:cs="Times New Roman"/>
          <w:color w:val="000000"/>
          <w:sz w:val="24"/>
          <w:szCs w:val="24"/>
        </w:rPr>
      </w:pPr>
      <w:r>
        <w:rPr>
          <w:rFonts w:hint="eastAsia" w:ascii="楷体_GB2312" w:hAnsi="宋体" w:eastAsia="楷体_GB2312" w:cs="楷体_GB2312"/>
          <w:b/>
          <w:bCs/>
          <w:color w:val="000000"/>
          <w:kern w:val="0"/>
          <w:sz w:val="32"/>
          <w:szCs w:val="32"/>
        </w:rPr>
        <w:t>（二）改进措施</w:t>
      </w:r>
    </w:p>
    <w:p w14:paraId="20C23F0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一是进一步提升政府信息公开实效性，积极主动回应涉及企业和群众切身利益、社会关注度高的重点领域，切实提升群众知晓率。二是强化宣传教育，利用政务新媒体平台不断提高群众对政府信息公开的参与度。三是进一步加强对政务公开工作人员的业务培训，通过传帮带、老带新等方式，补齐业务人员工作短板，努力提高政府信息公开综合水平。</w:t>
      </w:r>
    </w:p>
    <w:p w14:paraId="3AB3D783">
      <w:pPr>
        <w:widowControl/>
        <w:spacing w:line="560" w:lineRule="exact"/>
        <w:ind w:firstLine="640" w:firstLineChars="200"/>
        <w:jc w:val="both"/>
        <w:rPr>
          <w:rFonts w:ascii="宋体" w:cs="Times New Roman"/>
          <w:color w:val="000000"/>
          <w:sz w:val="24"/>
          <w:szCs w:val="24"/>
        </w:rPr>
      </w:pPr>
      <w:r>
        <w:rPr>
          <w:rFonts w:hint="eastAsia" w:ascii="黑体" w:hAnsi="宋体" w:eastAsia="黑体" w:cs="黑体"/>
          <w:color w:val="000000"/>
          <w:kern w:val="0"/>
          <w:sz w:val="32"/>
          <w:szCs w:val="32"/>
        </w:rPr>
        <w:t>六、其他需要报告的事项</w:t>
      </w:r>
    </w:p>
    <w:p w14:paraId="586AF64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严格依据《政府信息公开信息处理费管理办法》（国办函〔2020〕109号）《财政部办公厅关于政府信息公开信息处理费收入收缴管理有关事宜的通知》（财办库〔2020〕254号）和《福建省非税收入管理办法》（省政府令第153号）等文件要求，做好信息处理费收缴管理工作。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val="en-US" w:eastAsia="zh-CN"/>
        </w:rPr>
        <w:t>，</w:t>
      </w:r>
      <w:r>
        <w:rPr>
          <w:rFonts w:hint="eastAsia" w:ascii="仿宋_GB2312" w:hAnsi="宋体" w:eastAsia="仿宋_GB2312" w:cs="仿宋_GB2312"/>
          <w:color w:val="000000"/>
          <w:kern w:val="0"/>
          <w:sz w:val="32"/>
          <w:szCs w:val="32"/>
          <w:lang w:eastAsia="zh-CN"/>
        </w:rPr>
        <w:t>本单位</w:t>
      </w:r>
      <w:r>
        <w:rPr>
          <w:rFonts w:hint="eastAsia" w:ascii="仿宋_GB2312" w:hAnsi="宋体" w:eastAsia="仿宋_GB2312" w:cs="仿宋_GB2312"/>
          <w:color w:val="000000"/>
          <w:kern w:val="0"/>
          <w:sz w:val="32"/>
          <w:szCs w:val="32"/>
        </w:rPr>
        <w:t>未收取政府信息处理费。</w:t>
      </w:r>
    </w:p>
    <w:p w14:paraId="6708C8E2">
      <w:pPr>
        <w:widowControl/>
        <w:spacing w:line="560" w:lineRule="exact"/>
        <w:ind w:firstLine="640" w:firstLineChars="200"/>
        <w:jc w:val="left"/>
        <w:rPr>
          <w:rFonts w:ascii="宋体" w:cs="Times New Roman"/>
          <w:color w:val="000000"/>
          <w:sz w:val="24"/>
          <w:szCs w:val="24"/>
        </w:rPr>
      </w:pPr>
      <w:r>
        <w:rPr>
          <w:rFonts w:ascii="宋体" w:cs="Times New Roman"/>
          <w:color w:val="000000"/>
          <w:kern w:val="0"/>
          <w:sz w:val="32"/>
          <w:szCs w:val="32"/>
        </w:rPr>
        <w:t>  </w:t>
      </w:r>
    </w:p>
    <w:p w14:paraId="2FDF40E7">
      <w:pPr>
        <w:widowControl/>
        <w:spacing w:line="560" w:lineRule="exact"/>
        <w:ind w:firstLine="640" w:firstLineChars="200"/>
        <w:jc w:val="left"/>
        <w:rPr>
          <w:rFonts w:ascii="宋体" w:cs="宋体"/>
          <w:color w:val="000000"/>
          <w:kern w:val="0"/>
          <w:sz w:val="32"/>
          <w:szCs w:val="32"/>
        </w:rPr>
      </w:pPr>
      <w:r>
        <w:rPr>
          <w:rFonts w:ascii="宋体" w:cs="Times New Roman"/>
          <w:color w:val="000000"/>
          <w:kern w:val="0"/>
          <w:sz w:val="32"/>
          <w:szCs w:val="32"/>
        </w:rPr>
        <w:t>                                </w:t>
      </w:r>
      <w:r>
        <w:rPr>
          <w:rFonts w:ascii="宋体" w:hAnsi="宋体" w:cs="宋体"/>
          <w:color w:val="000000"/>
          <w:kern w:val="0"/>
          <w:sz w:val="32"/>
          <w:szCs w:val="32"/>
        </w:rPr>
        <w:t xml:space="preserve">  </w:t>
      </w:r>
    </w:p>
    <w:p w14:paraId="0C99B8D2">
      <w:pPr>
        <w:widowControl/>
        <w:spacing w:line="560" w:lineRule="exact"/>
        <w:ind w:firstLine="640" w:firstLineChars="200"/>
        <w:jc w:val="right"/>
        <w:rPr>
          <w:rFonts w:hint="eastAsia" w:ascii="宋体" w:eastAsia="仿宋_GB2312" w:cs="Times New Roman"/>
          <w:color w:val="000000"/>
          <w:sz w:val="24"/>
          <w:szCs w:val="24"/>
          <w:lang w:val="en-US" w:eastAsia="zh-CN"/>
        </w:rPr>
      </w:pPr>
      <w:r>
        <w:rPr>
          <w:rFonts w:hint="eastAsia" w:ascii="仿宋_GB2312" w:hAnsi="宋体" w:eastAsia="仿宋_GB2312" w:cs="仿宋_GB2312"/>
          <w:color w:val="000000"/>
          <w:kern w:val="0"/>
          <w:sz w:val="32"/>
          <w:szCs w:val="32"/>
        </w:rPr>
        <w:t>安溪县</w:t>
      </w:r>
      <w:r>
        <w:rPr>
          <w:rFonts w:hint="eastAsia" w:ascii="仿宋_GB2312" w:hAnsi="宋体" w:eastAsia="仿宋_GB2312" w:cs="仿宋_GB2312"/>
          <w:color w:val="000000"/>
          <w:kern w:val="0"/>
          <w:sz w:val="32"/>
          <w:szCs w:val="32"/>
          <w:lang w:val="en-US" w:eastAsia="zh-CN"/>
        </w:rPr>
        <w:t>西坪镇</w:t>
      </w:r>
      <w:r>
        <w:rPr>
          <w:rFonts w:hint="eastAsia" w:ascii="仿宋_GB2312" w:hAnsi="宋体" w:eastAsia="仿宋_GB2312" w:cs="仿宋_GB2312"/>
          <w:color w:val="000000"/>
          <w:kern w:val="0"/>
          <w:sz w:val="32"/>
          <w:szCs w:val="32"/>
        </w:rPr>
        <w:t>人民政府</w:t>
      </w:r>
    </w:p>
    <w:p w14:paraId="11FC79A5">
      <w:pPr>
        <w:widowControl/>
        <w:wordWrap w:val="0"/>
        <w:spacing w:line="560" w:lineRule="exact"/>
        <w:ind w:firstLine="640" w:firstLineChars="200"/>
        <w:jc w:val="right"/>
        <w:rPr>
          <w:rFonts w:hint="default" w:ascii="宋体" w:eastAsia="仿宋_GB2312" w:cs="Times New Roman"/>
          <w:color w:val="000000"/>
          <w:sz w:val="24"/>
          <w:szCs w:val="24"/>
          <w:lang w:val="en-US" w:eastAsia="zh-CN"/>
        </w:rPr>
      </w:pPr>
      <w:r>
        <w:rPr>
          <w:rFonts w:ascii="宋体" w:cs="Times New Roman"/>
          <w:color w:val="000000"/>
          <w:kern w:val="0"/>
          <w:sz w:val="32"/>
          <w:szCs w:val="32"/>
        </w:rPr>
        <w:t>          </w:t>
      </w:r>
      <w:r>
        <w:rPr>
          <w:rFonts w:ascii="仿宋_GB2312" w:hAnsi="宋体" w:eastAsia="仿宋_GB2312" w:cs="Times New Roman"/>
          <w:color w:val="000000"/>
          <w:kern w:val="0"/>
          <w:sz w:val="32"/>
          <w:szCs w:val="32"/>
        </w:rPr>
        <w:t>       </w:t>
      </w:r>
      <w:r>
        <w:rPr>
          <w:rFonts w:ascii="仿宋_GB2312" w:hAnsi="宋体" w:eastAsia="仿宋_GB2312" w:cs="仿宋_GB2312"/>
          <w:color w:val="000000"/>
          <w:kern w:val="0"/>
          <w:sz w:val="32"/>
          <w:szCs w:val="32"/>
        </w:rPr>
        <w:t xml:space="preserve">       202</w:t>
      </w:r>
      <w:r>
        <w:rPr>
          <w:rFonts w:hint="eastAsia" w:ascii="仿宋_GB2312" w:hAnsi="宋体" w:eastAsia="仿宋_GB2312" w:cs="仿宋_GB2312"/>
          <w:color w:val="000000"/>
          <w:kern w:val="0"/>
          <w:sz w:val="32"/>
          <w:szCs w:val="32"/>
          <w:lang w:val="en-US" w:eastAsia="zh-CN"/>
        </w:rPr>
        <w:t>5</w:t>
      </w:r>
      <w:bookmarkStart w:id="1" w:name="_GoBack"/>
      <w:bookmarkEnd w:id="1"/>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月</w:t>
      </w:r>
      <w:r>
        <w:rPr>
          <w:rFonts w:hint="eastAsia" w:ascii="仿宋_GB2312" w:hAnsi="宋体" w:eastAsia="仿宋_GB2312" w:cs="仿宋_GB2312"/>
          <w:color w:val="000000"/>
          <w:kern w:val="0"/>
          <w:sz w:val="32"/>
          <w:szCs w:val="32"/>
          <w:lang w:val="en-US" w:eastAsia="zh-CN"/>
        </w:rPr>
        <w:t>19</w:t>
      </w:r>
      <w:r>
        <w:rPr>
          <w:rFonts w:hint="eastAsia" w:ascii="仿宋_GB2312" w:hAnsi="宋体" w:eastAsia="仿宋_GB2312" w:cs="仿宋_GB2312"/>
          <w:color w:val="000000"/>
          <w:kern w:val="0"/>
          <w:sz w:val="32"/>
          <w:szCs w:val="32"/>
        </w:rPr>
        <w:t>日</w:t>
      </w:r>
      <w:r>
        <w:rPr>
          <w:rFonts w:hint="eastAsia" w:ascii="仿宋_GB2312" w:hAnsi="宋体" w:eastAsia="仿宋_GB2312" w:cs="仿宋_GB2312"/>
          <w:color w:val="000000"/>
          <w:kern w:val="0"/>
          <w:sz w:val="32"/>
          <w:szCs w:val="32"/>
          <w:lang w:val="en-US" w:eastAsia="zh-CN"/>
        </w:rPr>
        <w:t xml:space="preserve">  </w:t>
      </w:r>
    </w:p>
    <w:p w14:paraId="2DB526EB">
      <w:pPr>
        <w:widowControl/>
        <w:spacing w:line="560" w:lineRule="exact"/>
        <w:ind w:firstLine="640" w:firstLineChars="200"/>
        <w:jc w:val="left"/>
        <w:rPr>
          <w:rFonts w:ascii="宋体" w:cs="Times New Roman"/>
          <w:color w:val="000000"/>
          <w:sz w:val="24"/>
          <w:szCs w:val="24"/>
        </w:rPr>
      </w:pPr>
      <w:r>
        <w:rPr>
          <w:rFonts w:ascii="宋体" w:cs="Times New Roman"/>
          <w:color w:val="000000"/>
          <w:kern w:val="0"/>
          <w:sz w:val="32"/>
          <w:szCs w:val="32"/>
        </w:rPr>
        <w:t> </w:t>
      </w:r>
    </w:p>
    <w:p w14:paraId="4EE53CCB">
      <w:pPr>
        <w:widowControl/>
        <w:spacing w:line="560" w:lineRule="exact"/>
        <w:ind w:firstLine="640" w:firstLineChars="200"/>
        <w:jc w:val="left"/>
        <w:rPr>
          <w:rFonts w:ascii="宋体" w:cs="Times New Roman"/>
          <w:color w:val="000000"/>
          <w:sz w:val="24"/>
          <w:szCs w:val="24"/>
        </w:rPr>
      </w:pPr>
      <w:r>
        <w:rPr>
          <w:rFonts w:hint="eastAsia" w:ascii="仿宋_GB2312" w:hAnsi="宋体" w:eastAsia="仿宋_GB2312" w:cs="仿宋_GB2312"/>
          <w:color w:val="000000"/>
          <w:kern w:val="0"/>
          <w:sz w:val="32"/>
          <w:szCs w:val="32"/>
        </w:rPr>
        <w:t>（此件</w:t>
      </w:r>
      <w:r>
        <w:rPr>
          <w:rFonts w:hint="eastAsia" w:ascii="仿宋_GB2312" w:hAnsi="宋体" w:eastAsia="仿宋_GB2312" w:cs="仿宋_GB2312"/>
          <w:color w:val="000000"/>
          <w:kern w:val="0"/>
          <w:sz w:val="32"/>
          <w:szCs w:val="32"/>
          <w:lang w:eastAsia="zh-CN"/>
        </w:rPr>
        <w:t>主动</w:t>
      </w:r>
      <w:r>
        <w:rPr>
          <w:rFonts w:hint="eastAsia" w:ascii="仿宋_GB2312" w:hAnsi="宋体" w:eastAsia="仿宋_GB2312" w:cs="仿宋_GB2312"/>
          <w:color w:val="000000"/>
          <w:kern w:val="0"/>
          <w:sz w:val="32"/>
          <w:szCs w:val="32"/>
        </w:rPr>
        <w:t>公开）</w:t>
      </w:r>
    </w:p>
    <w:bookmarkEnd w:id="0"/>
    <w:p w14:paraId="54A71C7A">
      <w:pPr>
        <w:widowControl/>
        <w:spacing w:line="560" w:lineRule="exact"/>
        <w:ind w:firstLine="600" w:firstLineChars="200"/>
        <w:jc w:val="left"/>
        <w:rPr>
          <w:rFonts w:ascii="宋体" w:cs="Times New Roman"/>
          <w:color w:val="000000"/>
          <w:sz w:val="24"/>
          <w:szCs w:val="24"/>
        </w:rPr>
      </w:pPr>
      <w:r>
        <w:rPr>
          <w:rFonts w:ascii="宋体" w:cs="Times New Roman"/>
          <w:color w:val="000000"/>
          <w:kern w:val="0"/>
          <w:sz w:val="30"/>
          <w:szCs w:val="30"/>
        </w:rPr>
        <w:t> </w:t>
      </w:r>
      <w:r>
        <w:rPr>
          <w:rFonts w:ascii="宋体" w:cs="Times New Roman"/>
          <w:color w:val="000000"/>
          <w:kern w:val="0"/>
          <w:sz w:val="32"/>
          <w:szCs w:val="32"/>
        </w:rPr>
        <w:t> </w:t>
      </w:r>
    </w:p>
    <w:p w14:paraId="34259256">
      <w:pPr>
        <w:widowControl/>
        <w:spacing w:line="600" w:lineRule="atLeast"/>
        <w:ind w:firstLine="640" w:firstLineChars="200"/>
        <w:jc w:val="left"/>
        <w:rPr>
          <w:rFonts w:ascii="仿宋_GB2312" w:hAnsi="仿宋_GB2312" w:eastAsia="仿宋_GB2312" w:cs="Times New Roman"/>
          <w:sz w:val="32"/>
          <w:szCs w:val="32"/>
        </w:rPr>
      </w:pPr>
      <w:r>
        <w:rPr>
          <w:rFonts w:ascii="仿宋_GB2312" w:hAnsi="宋体" w:eastAsia="仿宋_GB2312" w:cs="Times New Roman"/>
          <w:color w:val="000000"/>
          <w:kern w:val="0"/>
          <w:sz w:val="32"/>
          <w:szCs w:val="32"/>
        </w:rPr>
        <w:t>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7C9F">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FC74">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YTNhM2Q0ODU1MDMzYThiMjYyNjFhNDVlOWM5NzQifQ=="/>
  </w:docVars>
  <w:rsids>
    <w:rsidRoot w:val="0C2F7BCE"/>
    <w:rsid w:val="000221F8"/>
    <w:rsid w:val="00326AAD"/>
    <w:rsid w:val="00A055E2"/>
    <w:rsid w:val="00AA2E1E"/>
    <w:rsid w:val="00D50BD9"/>
    <w:rsid w:val="00E86FF0"/>
    <w:rsid w:val="0C2F7BCE"/>
    <w:rsid w:val="11AC53EA"/>
    <w:rsid w:val="173C0FBE"/>
    <w:rsid w:val="19896E7F"/>
    <w:rsid w:val="1FEED38E"/>
    <w:rsid w:val="216A5C29"/>
    <w:rsid w:val="2584425C"/>
    <w:rsid w:val="26D33726"/>
    <w:rsid w:val="2FBAB026"/>
    <w:rsid w:val="32874EFA"/>
    <w:rsid w:val="33EA8656"/>
    <w:rsid w:val="34C957E7"/>
    <w:rsid w:val="3871765B"/>
    <w:rsid w:val="39E7ADB4"/>
    <w:rsid w:val="39FFEA23"/>
    <w:rsid w:val="3A7F29F1"/>
    <w:rsid w:val="3BC2DBFD"/>
    <w:rsid w:val="3F3F002C"/>
    <w:rsid w:val="3FDFEA4A"/>
    <w:rsid w:val="3FEE84BE"/>
    <w:rsid w:val="42621EFB"/>
    <w:rsid w:val="439A3418"/>
    <w:rsid w:val="47205AC6"/>
    <w:rsid w:val="4AA8287C"/>
    <w:rsid w:val="4D21275B"/>
    <w:rsid w:val="577FB0FB"/>
    <w:rsid w:val="5BAB5397"/>
    <w:rsid w:val="5CEEE9F1"/>
    <w:rsid w:val="5D7F5FDF"/>
    <w:rsid w:val="5F7FE006"/>
    <w:rsid w:val="5FF7C5D4"/>
    <w:rsid w:val="5FFB48EC"/>
    <w:rsid w:val="603F5015"/>
    <w:rsid w:val="6D116461"/>
    <w:rsid w:val="6EFDBE7A"/>
    <w:rsid w:val="6EFE945E"/>
    <w:rsid w:val="6F6D8FA8"/>
    <w:rsid w:val="77CF8522"/>
    <w:rsid w:val="7AEFBF17"/>
    <w:rsid w:val="7B865DB3"/>
    <w:rsid w:val="7DB12F5C"/>
    <w:rsid w:val="7DCB01B2"/>
    <w:rsid w:val="7DFC31C0"/>
    <w:rsid w:val="7F69287E"/>
    <w:rsid w:val="7FAB6FFC"/>
    <w:rsid w:val="7FBEAC28"/>
    <w:rsid w:val="7FD74B64"/>
    <w:rsid w:val="7FEB7AA3"/>
    <w:rsid w:val="7FEF1BAE"/>
    <w:rsid w:val="7FEF4C48"/>
    <w:rsid w:val="8FAF7B61"/>
    <w:rsid w:val="AFBD73BF"/>
    <w:rsid w:val="BBFFE8FE"/>
    <w:rsid w:val="BDB56120"/>
    <w:rsid w:val="DFEF7FE4"/>
    <w:rsid w:val="DFF74ACC"/>
    <w:rsid w:val="DFFD683C"/>
    <w:rsid w:val="ECF6BDAF"/>
    <w:rsid w:val="EDFB180C"/>
    <w:rsid w:val="EEF72B96"/>
    <w:rsid w:val="EFDE22C8"/>
    <w:rsid w:val="EFFBBD0A"/>
    <w:rsid w:val="F9199AB9"/>
    <w:rsid w:val="FC7DF10B"/>
    <w:rsid w:val="FEEEE636"/>
    <w:rsid w:val="FEFA7090"/>
    <w:rsid w:val="FFFF41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customStyle="1" w:styleId="7">
    <w:name w:val="Footer Char"/>
    <w:basedOn w:val="6"/>
    <w:link w:val="2"/>
    <w:semiHidden/>
    <w:qFormat/>
    <w:uiPriority w:val="99"/>
    <w:rPr>
      <w:rFonts w:ascii="Calibri" w:hAnsi="Calibri" w:cs="Calibri"/>
      <w:sz w:val="18"/>
      <w:szCs w:val="18"/>
    </w:rPr>
  </w:style>
  <w:style w:type="character" w:customStyle="1" w:styleId="8">
    <w:name w:val="Header Char"/>
    <w:basedOn w:val="6"/>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微软公司</Company>
  <Pages>7</Pages>
  <Words>2461</Words>
  <Characters>2623</Characters>
  <Lines>0</Lines>
  <Paragraphs>0</Paragraphs>
  <TotalTime>69</TotalTime>
  <ScaleCrop>false</ScaleCrop>
  <LinksUpToDate>false</LinksUpToDate>
  <CharactersWithSpaces>2691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2022-05-14T18:00:00Z</dcterms:created>
  <dc:creator>Administrator</dc:creator>
  <cp:lastModifiedBy>水饺哈密瓜</cp:lastModifiedBy>
  <dcterms:modified xsi:type="dcterms:W3CDTF">2025-01-19T12:30:52Z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D7BC3BC9865A4AF68A08E9F305D9A3BB_13</vt:lpwstr>
  </property>
</Properties>
</file>