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12256">
      <w:pPr>
        <w:spacing w:after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虎邱镇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人民政府关于安溪县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虎邱镇</w:t>
      </w:r>
    </w:p>
    <w:p w14:paraId="7EB4A32A">
      <w:pPr>
        <w:spacing w:after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少卿村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村庄规划修编的公示</w:t>
      </w:r>
    </w:p>
    <w:p w14:paraId="5D87C696">
      <w:pPr>
        <w:shd w:val="clear" w:color="auto" w:fill="FFFFFF"/>
        <w:wordWrap w:val="0"/>
        <w:overflowPunct w:val="0"/>
        <w:snapToGrid/>
        <w:spacing w:before="240" w:after="0" w:line="560" w:lineRule="exact"/>
        <w:ind w:firstLine="646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lang w:eastAsia="zh-CN"/>
        </w:rPr>
        <w:t>虎邱镇少卿村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的规划建设，我镇委托</w:t>
      </w:r>
      <w:r>
        <w:rPr>
          <w:rFonts w:hint="eastAsia" w:ascii="仿宋_GB2312" w:eastAsia="仿宋_GB2312"/>
          <w:color w:val="000000"/>
          <w:sz w:val="32"/>
          <w:szCs w:val="32"/>
        </w:rPr>
        <w:t>硕威工程科技股份有限公司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</w:rPr>
        <w:t>《安溪县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虎邱镇少卿村</w:t>
      </w:r>
      <w:r>
        <w:rPr>
          <w:rFonts w:hint="eastAsia" w:ascii="仿宋_GB2312" w:eastAsia="仿宋_GB2312"/>
          <w:color w:val="000000"/>
          <w:sz w:val="32"/>
          <w:szCs w:val="32"/>
        </w:rPr>
        <w:t>村庄规划修编（2024-2035年）》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的编制工作。经设计单位实地勘查、资料收集、分析梳理、征求意见及多轮修改后形成规划方案，</w:t>
      </w:r>
      <w:r>
        <w:rPr>
          <w:rFonts w:hint="eastAsia" w:ascii="仿宋_GB2312" w:hAnsi="仿宋_GB2312" w:eastAsia="仿宋_GB2312"/>
          <w:sz w:val="32"/>
          <w:szCs w:val="30"/>
        </w:rPr>
        <w:t>本次规划修改主要对村庄建设用地进行合理优化。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并于</w:t>
      </w:r>
      <w:r>
        <w:rPr>
          <w:rFonts w:ascii="仿宋_GB2312" w:hAnsi="Calibri" w:eastAsia="仿宋_GB2312"/>
          <w:color w:val="000000"/>
          <w:spacing w:val="2"/>
          <w:sz w:val="32"/>
          <w:szCs w:val="32"/>
        </w:rPr>
        <w:t>2024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年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日通过县自然资源局组织的专家技术评审,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日通过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少卿村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村民代表会议审议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 w14:paraId="4F7B3F9D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202</w:t>
      </w:r>
      <w:r>
        <w:rPr>
          <w:rFonts w:ascii="仿宋_GB2312" w:hAnsi="Calibri" w:eastAsia="仿宋_GB2312"/>
          <w:color w:val="000000"/>
          <w:spacing w:val="2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年</w:t>
      </w:r>
      <w:r>
        <w:rPr>
          <w:rFonts w:ascii="仿宋_GB2312" w:hAnsi="Calibri" w:eastAsia="仿宋_GB2312"/>
          <w:color w:val="000000"/>
          <w:spacing w:val="2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月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25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年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月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24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日</w:t>
      </w:r>
    </w:p>
    <w:p w14:paraId="745D4A62">
      <w:pPr>
        <w:shd w:val="clear" w:color="auto" w:fill="FFFFFF"/>
        <w:wordWrap w:val="0"/>
        <w:overflowPunct w:val="0"/>
        <w:snapToGrid/>
        <w:spacing w:after="0" w:line="560" w:lineRule="exact"/>
        <w:ind w:firstLine="648" w:firstLineChars="200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二、公示地点：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虎邱镇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党务政务公示栏</w:t>
      </w:r>
    </w:p>
    <w:p w14:paraId="3BFD0F5A">
      <w:pPr>
        <w:shd w:val="clear" w:color="auto" w:fill="FFFFFF"/>
        <w:wordWrap w:val="0"/>
        <w:overflowPunct w:val="0"/>
        <w:snapToGrid/>
        <w:spacing w:after="0" w:line="560" w:lineRule="exact"/>
        <w:ind w:firstLine="2880" w:firstLineChars="9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虎邱镇少卿村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公示栏</w:t>
      </w:r>
    </w:p>
    <w:p w14:paraId="7C9C0EED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联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系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人：</w:t>
      </w:r>
      <w:r>
        <w:rPr>
          <w:rFonts w:hint="eastAsia" w:ascii="仿宋_GB2312" w:hAnsi="微软雅黑" w:eastAsia="仿宋_GB2312"/>
          <w:color w:val="000000"/>
          <w:spacing w:val="2"/>
          <w:sz w:val="32"/>
        </w:rPr>
        <w:t>王奕璞</w:t>
      </w:r>
    </w:p>
    <w:p w14:paraId="755312D5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电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话：136 5590 9669</w:t>
      </w:r>
    </w:p>
    <w:p w14:paraId="08A654F1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天后，依法履行相关规划审批手续。</w:t>
      </w:r>
    </w:p>
    <w:p w14:paraId="3D425731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 w14:paraId="0A5F03AE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Calibri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</w:t>
      </w:r>
    </w:p>
    <w:p w14:paraId="7DB2F680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附件：</w:t>
      </w:r>
      <w:r>
        <w:rPr>
          <w:rFonts w:hint="eastAsia" w:ascii="仿宋_GB2312" w:eastAsia="仿宋_GB2312"/>
          <w:color w:val="000000"/>
          <w:sz w:val="32"/>
          <w:szCs w:val="32"/>
        </w:rPr>
        <w:t>《安溪县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虎邱镇少卿村</w:t>
      </w:r>
      <w:r>
        <w:rPr>
          <w:rFonts w:hint="eastAsia" w:ascii="仿宋_GB2312" w:eastAsia="仿宋_GB2312"/>
          <w:color w:val="000000"/>
          <w:sz w:val="32"/>
          <w:szCs w:val="32"/>
        </w:rPr>
        <w:t>村庄规划修编（2024-2035年）》</w:t>
      </w:r>
    </w:p>
    <w:p w14:paraId="7B944A55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Calibri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</w:t>
      </w:r>
    </w:p>
    <w:p w14:paraId="28EB56B9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both"/>
        <w:rPr>
          <w:rFonts w:hint="eastAsia" w:ascii="仿宋_GB2312" w:hAnsi="Calibri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</w:t>
      </w:r>
    </w:p>
    <w:p w14:paraId="3190DC20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right"/>
        <w:rPr>
          <w:rFonts w:hint="eastAsia" w:ascii="仿宋_GB2312" w:hAnsi="Calibri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                                                           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  <w:lang w:eastAsia="zh-CN"/>
        </w:rPr>
        <w:t>虎邱镇</w:t>
      </w: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人民政府</w:t>
      </w:r>
    </w:p>
    <w:p w14:paraId="5794CCED">
      <w:pPr>
        <w:shd w:val="clear" w:color="auto" w:fill="FFFFFF"/>
        <w:wordWrap w:val="0"/>
        <w:overflowPunct w:val="0"/>
        <w:snapToGrid/>
        <w:spacing w:after="0" w:line="560" w:lineRule="exact"/>
        <w:ind w:firstLine="648"/>
        <w:jc w:val="right"/>
        <w:rPr>
          <w:rFonts w:hint="eastAsia" w:ascii="仿宋_GB2312" w:hAnsi="Calibri" w:eastAsia="仿宋_GB2312"/>
          <w:color w:val="000000"/>
          <w:spacing w:val="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2"/>
          <w:sz w:val="32"/>
          <w:szCs w:val="32"/>
        </w:rPr>
        <w:t>                                                           202</w:t>
      </w:r>
      <w:r>
        <w:rPr>
          <w:rFonts w:ascii="仿宋_GB2312" w:hAnsi="Calibri" w:eastAsia="仿宋_GB2312"/>
          <w:color w:val="000000"/>
          <w:spacing w:val="2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年</w:t>
      </w:r>
      <w:r>
        <w:rPr>
          <w:rFonts w:ascii="仿宋_GB2312" w:hAnsi="Calibri" w:eastAsia="仿宋_GB2312"/>
          <w:color w:val="000000"/>
          <w:spacing w:val="2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月2</w:t>
      </w:r>
      <w:r>
        <w:rPr>
          <w:rFonts w:ascii="仿宋_GB2312" w:hAnsi="微软雅黑" w:eastAsia="仿宋_GB2312"/>
          <w:color w:val="000000"/>
          <w:spacing w:val="2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000000"/>
          <w:spacing w:val="2"/>
          <w:sz w:val="32"/>
          <w:szCs w:val="32"/>
        </w:rPr>
        <w:t>日</w:t>
      </w:r>
    </w:p>
    <w:sectPr>
      <w:pgSz w:w="11906" w:h="16838"/>
      <w:pgMar w:top="2155" w:right="1418" w:bottom="2041" w:left="153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40E6791-A397-4B34-8247-E13993265F7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B01DEC34-07F7-4896-A848-39FCBCB712C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2C6135C-61EE-40B5-B523-0D7FA6916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5CB7F3-7D90-4F28-9660-0982038507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2"/>
  <w:displayVerticalDrawingGridEvery w:val="1"/>
  <w:characterSpacingControl w:val="doNotCompress"/>
  <w:footnotePr>
    <w:footnote w:id="0"/>
    <w:footnote w:id="1"/>
  </w:footnotePr>
  <w:compat>
    <w:spaceForUL/>
    <w:useFELayout/>
    <w:compatSetting w:name="compatibilityMode" w:uri="http://schemas.microsoft.com/office/word" w:val="11"/>
  </w:compat>
  <w:rsids>
    <w:rsidRoot w:val="00000000"/>
    <w:rsid w:val="22DF2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正文首行缩进 21"/>
    <w:basedOn w:val="7"/>
    <w:qFormat/>
    <w:uiPriority w:val="0"/>
    <w:pPr>
      <w:ind w:firstLine="420" w:firstLineChars="200"/>
    </w:pPr>
    <w:rPr>
      <w:rFonts w:eastAsia="宋体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rFonts w:ascii="Tahoma" w:hAnsi="Tahoma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页眉 Char"/>
    <w:link w:val="10"/>
    <w:qFormat/>
    <w:uiPriority w:val="0"/>
    <w:rPr>
      <w:rFonts w:ascii="Tahoma" w:hAnsi="Tahoma"/>
      <w:sz w:val="18"/>
      <w:szCs w:val="18"/>
    </w:rPr>
  </w:style>
  <w:style w:type="character" w:customStyle="1" w:styleId="12">
    <w:name w:val="超链接1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525</Words>
  <Characters>572</Characters>
  <Lines>0</Lines>
  <Paragraphs>0</Paragraphs>
  <TotalTime>0</TotalTime>
  <ScaleCrop>false</ScaleCrop>
  <LinksUpToDate>false</LinksUpToDate>
  <CharactersWithSpaces>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2025-01-24T02:01:37Z</dcterms:created>
  <dc:creator>十点半洗澡十二点睡觉</dc:creator>
  <cp:lastModifiedBy>十点半洗澡十二点睡觉</cp:lastModifiedBy>
  <dcterms:modified xsi:type="dcterms:W3CDTF">2025-01-24T02:01:58Z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eyJoZGlkIjoiNWYyMWIzOTQ1YjUzYjlhNzcwZDE1ZjYzZTVjNzM1NmYiLCJ1c2VySWQiOiIxMDM3ODA3NjUxIn0=</vt:lpwstr>
  </property>
  <property fmtid="{D5CDD505-2E9C-101B-9397-08002B2CF9AE}" pid="3" name="KSOProductBuildVer">
    <vt:lpwstr>2052-12.1.0.19302</vt:lpwstr>
  </property>
  <property fmtid="{D5CDD505-2E9C-101B-9397-08002B2CF9AE}" pid="4" name="ICV">
    <vt:lpwstr>15CB45308AD94BB8B89D7DA6C58BCBC0_12</vt:lpwstr>
  </property>
</Properties>
</file>