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C432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附件1</w:t>
      </w:r>
    </w:p>
    <w:p w14:paraId="2B1A855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color w:val="000000"/>
          <w:kern w:val="0"/>
          <w:sz w:val="32"/>
          <w:szCs w:val="32"/>
          <w:lang w:val="en-US" w:eastAsia="zh-CN"/>
        </w:rPr>
      </w:pPr>
    </w:p>
    <w:p w14:paraId="47DBBA5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微软雅黑" w:eastAsia="仿宋_GB2312" w:cs="宋体"/>
          <w:color w:val="000000"/>
          <w:kern w:val="0"/>
          <w:sz w:val="32"/>
          <w:szCs w:val="32"/>
        </w:rPr>
      </w:pPr>
      <w:r>
        <w:rPr>
          <w:rFonts w:hint="eastAsia" w:ascii="方正小标宋简体" w:hAnsi="方正小标宋简体" w:eastAsia="方正小标宋简体" w:cs="方正小标宋简体"/>
          <w:color w:val="000000"/>
          <w:kern w:val="0"/>
          <w:sz w:val="44"/>
          <w:szCs w:val="44"/>
          <w:lang w:val="en-US" w:eastAsia="zh-CN"/>
        </w:rPr>
        <w:t>保留（继续有效）的行政规范性文件目录</w:t>
      </w:r>
    </w:p>
    <w:tbl>
      <w:tblPr>
        <w:tblStyle w:val="2"/>
        <w:tblW w:w="91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5309"/>
        <w:gridCol w:w="2956"/>
      </w:tblGrid>
      <w:tr w14:paraId="0419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3E4760D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序号</w:t>
            </w:r>
          </w:p>
        </w:tc>
        <w:tc>
          <w:tcPr>
            <w:tcW w:w="5309" w:type="dxa"/>
            <w:tcBorders>
              <w:top w:val="single" w:color="000000" w:sz="4" w:space="0"/>
              <w:left w:val="single" w:color="000000" w:sz="4" w:space="0"/>
              <w:bottom w:val="single" w:color="000000" w:sz="4" w:space="0"/>
              <w:right w:val="single" w:color="000000" w:sz="4" w:space="0"/>
            </w:tcBorders>
            <w:noWrap/>
            <w:vAlign w:val="center"/>
          </w:tcPr>
          <w:p w14:paraId="393F582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文件名称</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7B38603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文号</w:t>
            </w:r>
          </w:p>
        </w:tc>
      </w:tr>
      <w:tr w14:paraId="3BA9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C74C5B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95AA40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安溪县人民政府办公室转发县医改办等部门关于安溪县建立疾病应急救助制度实施意见的通知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1C4313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安政办〔2013〕257号</w:t>
            </w:r>
          </w:p>
        </w:tc>
      </w:tr>
      <w:tr w14:paraId="5356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5836E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DC003E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安溪县人民政府关于印发安溪县农业贷款风险补偿专项资金管理规定的通知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7669C4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安政综〔2014〕79号</w:t>
            </w:r>
          </w:p>
        </w:tc>
      </w:tr>
      <w:tr w14:paraId="6C14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3510D4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B351A4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安溪县人民政府关于印发龙门镇、官桥镇、湖头镇城市基础设施配套费征收管理规定的通知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3588421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安政综〔2014〕223号</w:t>
            </w:r>
          </w:p>
        </w:tc>
      </w:tr>
      <w:tr w14:paraId="2584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564D6B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21272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安溪县人民政府办公室关于印发《安溪县贯彻落实&lt;福建省奖励和保护见义勇为人员条例&gt;实施意见》的通知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7E6E33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安政办〔2015〕105号</w:t>
            </w:r>
          </w:p>
        </w:tc>
      </w:tr>
      <w:tr w14:paraId="27DF0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0AF40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366A83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安溪县人民政府办公室关于规范建设工程用砂质量管理办法的通知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3A31A5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安政办〔2016〕46号</w:t>
            </w:r>
          </w:p>
        </w:tc>
      </w:tr>
      <w:tr w14:paraId="7ADB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3D5EE2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5B24C1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安溪县人民政府办公室印发《安溪县乡村教师生活补助实施方案》的通知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03574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安政办〔2016〕130号</w:t>
            </w:r>
          </w:p>
        </w:tc>
      </w:tr>
      <w:tr w14:paraId="4452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E8A71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22B2EFB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安溪县人民政府办公室关于贯彻全面治理拖欠农民工工资问题的实施意见</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082A4B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安政办〔2016〕183号</w:t>
            </w:r>
          </w:p>
        </w:tc>
      </w:tr>
      <w:tr w14:paraId="24AF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A74FF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F4E705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安溪县人民政府关于印发安溪县安置房小区物业管理暂行规定的通知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2DB7E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安政综〔2016〕140号</w:t>
            </w:r>
          </w:p>
        </w:tc>
      </w:tr>
      <w:tr w14:paraId="017B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5F94F4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59E578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安溪县人民政府关于安溪县城区居民生活用水实行阶梯水价暨污水处理费调整的通知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270609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安政综〔2016〕157号</w:t>
            </w:r>
          </w:p>
        </w:tc>
      </w:tr>
      <w:tr w14:paraId="5CBB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B2721A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FC1830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安溪县人民政府关于南翼新城、湖头新城开展人民防空建设的通知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00FE8C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安政综〔2016〕176号</w:t>
            </w:r>
          </w:p>
        </w:tc>
      </w:tr>
      <w:tr w14:paraId="5E14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352F33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0A1137C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安溪县人民政府办公室关于印发《安溪县教育系统优秀人才奖励暂行规定》的通知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0572A11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安政办〔2017〕93号</w:t>
            </w:r>
          </w:p>
        </w:tc>
      </w:tr>
      <w:tr w14:paraId="19B5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76E3B56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7B5DFC6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安溪县人民政府办公室关于印发《中心城区集贸市场常态化管理暂行规定》的通知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0E1614A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安政办〔2017〕225号</w:t>
            </w:r>
          </w:p>
        </w:tc>
      </w:tr>
      <w:tr w14:paraId="7EB1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D06907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13</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7D5EAB6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安溪县人民政府关于印发鼓励各类企业（总部）入驻安溪县金融行政服务中心的优惠方案的通知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EA0E1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安政综〔2017〕167号</w:t>
            </w:r>
          </w:p>
        </w:tc>
      </w:tr>
      <w:tr w14:paraId="250E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A8B2F2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14</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68E9E57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安溪县人民政府关于印发安溪县开征城市生活垃圾处理费实施方案的通知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1B959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安政综〔2017〕174号</w:t>
            </w:r>
          </w:p>
        </w:tc>
      </w:tr>
      <w:tr w14:paraId="5D4A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1E7F91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15</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CE127D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安溪县人民政府关于印发《安溪县安置房建设管理及加快推进公共租赁住房分配暂行规定》的通知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34C434B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安政综〔2017〕183号</w:t>
            </w:r>
          </w:p>
        </w:tc>
      </w:tr>
      <w:tr w14:paraId="6B41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BA0BF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16</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74007B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安溪县人民政府办公室关于印发《安溪县家庭医生签约服务实施方案（试行）》的通知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F96F37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安政办〔2017〕307号</w:t>
            </w:r>
          </w:p>
        </w:tc>
      </w:tr>
      <w:tr w14:paraId="28A3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17272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17</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2B7C005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安溪县人民政府关于进一步做好为农民工服务工作的实施意见</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4D11F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安政综〔2018〕1号</w:t>
            </w:r>
          </w:p>
        </w:tc>
      </w:tr>
      <w:tr w14:paraId="1CE2D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3EC126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18</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10CCDA5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安溪县人民政府办公室关于印发《安溪县建设项目动迁坟墓补偿标准》的通知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10EF57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安政办〔2018〕60号</w:t>
            </w:r>
          </w:p>
        </w:tc>
      </w:tr>
      <w:tr w14:paraId="393D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7DE04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19</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4E080C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安溪县人民政府办公室关于印发《安溪县关于推行农村集体财务代理会计聘用管理规定》的通知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34ED98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安政办〔2019〕13号</w:t>
            </w:r>
          </w:p>
        </w:tc>
      </w:tr>
      <w:tr w14:paraId="4A6D2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4416C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07AF2E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安溪县人民政府办公室关于贯彻落实泉州市鼓励产业急需高校毕业生来泉就业创业实施意见（试行）的通知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AE1D2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安政办〔2019〕50号</w:t>
            </w:r>
          </w:p>
        </w:tc>
      </w:tr>
      <w:tr w14:paraId="3978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96EA78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21</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1917C9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安溪县人民政府关于印发安溪县深化工程建设项目审批制度改革实施方案（试行）的通知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7A2B4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安政综〔2019〕63号</w:t>
            </w:r>
          </w:p>
        </w:tc>
      </w:tr>
      <w:tr w14:paraId="6439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C1265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22</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655EF77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安溪县人民政府关于修改《安溪县人民政府关于划定禁止销售使用高污染燃料区域的通告》的通知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7BF16CF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安政综〔2019〕78号</w:t>
            </w:r>
          </w:p>
        </w:tc>
      </w:tr>
      <w:tr w14:paraId="24DA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D7659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23</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7CCA74A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安溪县人民政府办公室印发《关于进一步规范村级投资工程项目招投标工作的意见》的通知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8BA56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安政办〔2019〕70号</w:t>
            </w:r>
          </w:p>
        </w:tc>
      </w:tr>
      <w:tr w14:paraId="5CD9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8E4D8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24</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022CEE5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安溪县人民政府关于印发《安溪县便民经营活动管理规定》的通知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DE66E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安政综〔2019〕108号</w:t>
            </w:r>
          </w:p>
        </w:tc>
      </w:tr>
      <w:tr w14:paraId="4155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D339B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229B8C5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安溪县人民政府关于发布野生动物禁猎区、禁猎期以及禁止使用的猎捕工具和方法的通告</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8CF8A3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安政〔2020〕8号</w:t>
            </w:r>
          </w:p>
        </w:tc>
      </w:tr>
      <w:tr w14:paraId="521F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DBFD2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26</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1CD6503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安溪县人民政府关于印发安溪县城乡居民基本养老保险规定的通知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76F860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安政综〔2021〕2号</w:t>
            </w:r>
          </w:p>
        </w:tc>
      </w:tr>
      <w:tr w14:paraId="79B4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43A2C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27</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E0473D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安溪县人民政府办公室关于做好企业用工服务补贴资金实施办法的补充通知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9825F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安政办〔2021〕21号</w:t>
            </w:r>
          </w:p>
        </w:tc>
      </w:tr>
      <w:tr w14:paraId="55A1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6EA879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28</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7E523EA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安溪县人民政府办公室关于印发安溪县农村饮水安全工程建后管理规定的通知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115A9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安政办〔2021〕38号</w:t>
            </w:r>
          </w:p>
        </w:tc>
      </w:tr>
      <w:tr w14:paraId="2436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73D91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29</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173DCAF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安溪县人民政府关于进一步加强农村宅基地和村民住宅建设管理有关规定的补充通知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4BA0C6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安政综〔2021〕138号</w:t>
            </w:r>
          </w:p>
        </w:tc>
      </w:tr>
      <w:tr w14:paraId="0678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65546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644917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安溪县人民政府办公室关于印发《安溪县农村住房建筑风貌管控导则及通用图集》的通知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55DE7F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安政办〔2021〕62号</w:t>
            </w:r>
          </w:p>
        </w:tc>
      </w:tr>
      <w:tr w14:paraId="294A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BC970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31</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9AAD78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安溪县人民政府办公室关于进一步加强农村建房质量安全管理的实施意见</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40242B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安政办〔2021〕59号</w:t>
            </w:r>
          </w:p>
        </w:tc>
      </w:tr>
      <w:tr w14:paraId="5121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613D8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32</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CAC891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安溪县人民政府办公室关于印发安溪县“中国天然氧吧”品牌标志使用管理规定（试行）的通知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3675B1F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安政办〔2022〕8号</w:t>
            </w:r>
          </w:p>
        </w:tc>
      </w:tr>
      <w:tr w14:paraId="02AE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2F130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33</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6ABB0B3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安溪县人民政府办公室关于修改《安溪县抓创新促应用专项行动方案》的通知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30F0F0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安政办〔2022〕41号</w:t>
            </w:r>
          </w:p>
        </w:tc>
      </w:tr>
      <w:tr w14:paraId="6E8FB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E9EE6A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34</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065D36B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安溪县人民政府关于印发《安溪县城区声环境功能区划》的通知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DFF49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安政综〔2022〕59号</w:t>
            </w:r>
          </w:p>
        </w:tc>
      </w:tr>
      <w:tr w14:paraId="48C6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9E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35</w:t>
            </w:r>
          </w:p>
        </w:tc>
        <w:tc>
          <w:tcPr>
            <w:tcW w:w="5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38DD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安溪县人民政府办公室关于印发《关于贯彻落实〈基础设施和公用事业特许经营管理办法〉的意见》的通知</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F1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安政办规〔2022〕1号</w:t>
            </w:r>
          </w:p>
        </w:tc>
      </w:tr>
      <w:tr w14:paraId="1981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DB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36</w:t>
            </w:r>
          </w:p>
        </w:tc>
        <w:tc>
          <w:tcPr>
            <w:tcW w:w="5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C407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安溪县人民政府办公室印发关于进一步加强安溪县中小学校校外供餐食品安全管理工作意见的通知</w:t>
            </w:r>
          </w:p>
        </w:tc>
        <w:tc>
          <w:tcPr>
            <w:tcW w:w="29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15D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安政办规〔2022〕2号</w:t>
            </w:r>
          </w:p>
        </w:tc>
      </w:tr>
      <w:tr w14:paraId="1BDA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34C06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37</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0A1B8A8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安溪县人民政府关于推进和规范自然资源非诉行政案件执行“裁执分离”工作的通知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8A259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安政规〔2022〕1号</w:t>
            </w:r>
          </w:p>
        </w:tc>
      </w:tr>
      <w:tr w14:paraId="7422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F8223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38</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5B237A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安溪县人民政府办公室关于印发《关于城市既有住宅增设电梯的指导意见》的通知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C2DF92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安政办规〔2022〕3号</w:t>
            </w:r>
          </w:p>
        </w:tc>
      </w:tr>
      <w:tr w14:paraId="65A0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7FACFE9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39</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16974F7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安溪县人民政府办公室关于印发安溪县工业企业“小升规”倍增行动计划的通知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02AFC7C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安政办规〔2023〕3号</w:t>
            </w:r>
          </w:p>
        </w:tc>
      </w:tr>
      <w:tr w14:paraId="0221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758E14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40</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48CE6D2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安溪县人民政府办公室关于印发安溪县加快电子商务高质量发展三年行动方案（2023-2025年）的通知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8F995C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安政办规〔2023〕4号</w:t>
            </w:r>
          </w:p>
        </w:tc>
      </w:tr>
      <w:tr w14:paraId="603A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4BB92E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41</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12F1D14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安溪县人民政府办公室印发《关于进一步加强社会工作专业人才队伍建设 提升基层服务能力的实施意见》的通知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5ACFC5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安政办规〔2023〕5号</w:t>
            </w:r>
          </w:p>
        </w:tc>
      </w:tr>
      <w:tr w14:paraId="3C00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7441815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42</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13CD234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安溪县人民政府办公室关于进一步完善全县统计体系的实施意见</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31BB78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安政办规〔2023〕6号</w:t>
            </w:r>
          </w:p>
        </w:tc>
      </w:tr>
      <w:tr w14:paraId="198F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753676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43</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7FA124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安溪县人民政府办公室关于完善病死畜禽无害化处理机制的通知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49B6A5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安政办规〔2023〕8号</w:t>
            </w:r>
          </w:p>
        </w:tc>
      </w:tr>
      <w:tr w14:paraId="4550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F93A30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44</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9D43E5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安溪县人民政府办公室关于印发安溪县小散工程安全生产纳管工作实施细则的通知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F952D2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安政办规〔2023〕7号</w:t>
            </w:r>
          </w:p>
        </w:tc>
      </w:tr>
      <w:tr w14:paraId="2F5A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9EE4A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448D5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安溪县人民政府办公室关于印发《安溪县农村宅基地审批“一户一宅”认定指导意见》的通知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43DDB85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安政办规〔2023〕9号</w:t>
            </w:r>
          </w:p>
        </w:tc>
      </w:tr>
      <w:tr w14:paraId="1CDB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B2154D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46</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552C507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安溪县人民政府办公室关于印发安溪县巩固拓展经济向好势头一揽子政策措施的通知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BDCE9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安政办规〔2023〕11号</w:t>
            </w:r>
          </w:p>
        </w:tc>
      </w:tr>
      <w:tr w14:paraId="59F5C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31052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47</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B71B19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安溪县人民政府关于印发《安溪县规范农村宅基地和村民住宅建设审批管理规定》的通知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5B0640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安政规〔2023〕3号</w:t>
            </w:r>
          </w:p>
        </w:tc>
      </w:tr>
      <w:tr w14:paraId="75DF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AEEB4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48</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1F1669D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安溪县人民政府办公室关于印发《安溪县重点人群就业困难人员就业帮扶若干措施》的通知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13557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安政办规〔2023〕1号</w:t>
            </w:r>
          </w:p>
        </w:tc>
      </w:tr>
      <w:tr w14:paraId="1E66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1ED23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49</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05F319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安溪县人民政府关于推进和规范农业农村非诉行政案件执行“裁执分离”工作的通知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4A9D52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安政规〔2023〕1号</w:t>
            </w:r>
          </w:p>
        </w:tc>
      </w:tr>
      <w:tr w14:paraId="6285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1E31AF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50</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265C165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安溪县人民政府关于印发《安溪县政府投资建设项目管理规定》的通知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1304554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安政规〔2023〕4号</w:t>
            </w:r>
          </w:p>
        </w:tc>
      </w:tr>
      <w:tr w14:paraId="54F6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7100030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51</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3404F30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安溪县人民政府关于印发《安溪县属企业国有资产处置管理办法》的通知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538EE04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安政规〔2023〕5号</w:t>
            </w:r>
          </w:p>
        </w:tc>
      </w:tr>
      <w:tr w14:paraId="732F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C64F9C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52</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7313121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安溪县人民政府关于调整禁止或限制在中心城区及重要场所燃放烟花爆竹的通告</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2BF5524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安政规〔2023〕7号</w:t>
            </w:r>
          </w:p>
        </w:tc>
      </w:tr>
      <w:tr w14:paraId="2238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26C916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53</w:t>
            </w:r>
          </w:p>
        </w:tc>
        <w:tc>
          <w:tcPr>
            <w:tcW w:w="5309" w:type="dxa"/>
            <w:tcBorders>
              <w:top w:val="single" w:color="000000" w:sz="4" w:space="0"/>
              <w:left w:val="single" w:color="000000" w:sz="4" w:space="0"/>
              <w:bottom w:val="single" w:color="000000" w:sz="4" w:space="0"/>
              <w:right w:val="single" w:color="000000" w:sz="4" w:space="0"/>
            </w:tcBorders>
            <w:noWrap w:val="0"/>
            <w:vAlign w:val="center"/>
          </w:tcPr>
          <w:p w14:paraId="6539834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安溪县人民政府关于印发安溪县城区房屋征收补偿安置指导意见（试行）的通知</w:t>
            </w:r>
          </w:p>
        </w:tc>
        <w:tc>
          <w:tcPr>
            <w:tcW w:w="2956" w:type="dxa"/>
            <w:tcBorders>
              <w:top w:val="single" w:color="000000" w:sz="4" w:space="0"/>
              <w:left w:val="single" w:color="000000" w:sz="4" w:space="0"/>
              <w:bottom w:val="single" w:color="000000" w:sz="4" w:space="0"/>
              <w:right w:val="single" w:color="000000" w:sz="4" w:space="0"/>
            </w:tcBorders>
            <w:noWrap/>
            <w:vAlign w:val="center"/>
          </w:tcPr>
          <w:p w14:paraId="662C8A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安政规〔2023〕6号</w:t>
            </w:r>
          </w:p>
        </w:tc>
      </w:tr>
    </w:tbl>
    <w:p w14:paraId="3CB66C84">
      <w:pPr>
        <w:adjustRightInd w:val="0"/>
        <w:snapToGrid w:val="0"/>
        <w:spacing w:line="560" w:lineRule="exact"/>
        <w:rPr>
          <w:rFonts w:hint="eastAsia" w:ascii="仿宋_GB2312" w:hAnsi="微软雅黑" w:eastAsia="仿宋_GB2312" w:cs="宋体"/>
          <w:color w:val="000000"/>
          <w:kern w:val="0"/>
          <w:sz w:val="32"/>
          <w:szCs w:val="32"/>
        </w:rPr>
      </w:pPr>
    </w:p>
    <w:p w14:paraId="147C36BD">
      <w:pPr>
        <w:adjustRightInd w:val="0"/>
        <w:snapToGrid w:val="0"/>
        <w:spacing w:line="560" w:lineRule="exact"/>
        <w:rPr>
          <w:rFonts w:hint="eastAsia" w:ascii="仿宋_GB2312" w:hAnsi="微软雅黑" w:eastAsia="仿宋_GB2312" w:cs="宋体"/>
          <w:color w:val="000000"/>
          <w:kern w:val="0"/>
          <w:sz w:val="32"/>
          <w:szCs w:val="32"/>
        </w:rPr>
      </w:pPr>
    </w:p>
    <w:p w14:paraId="4C94756D">
      <w:pPr>
        <w:adjustRightInd w:val="0"/>
        <w:snapToGrid w:val="0"/>
        <w:spacing w:line="560" w:lineRule="exact"/>
        <w:rPr>
          <w:rFonts w:hint="eastAsia" w:ascii="仿宋_GB2312" w:hAnsi="微软雅黑" w:eastAsia="仿宋_GB2312" w:cs="宋体"/>
          <w:color w:val="000000"/>
          <w:kern w:val="0"/>
          <w:sz w:val="32"/>
          <w:szCs w:val="32"/>
        </w:rPr>
      </w:pPr>
    </w:p>
    <w:p w14:paraId="2FFC396F">
      <w:pPr>
        <w:adjustRightInd w:val="0"/>
        <w:snapToGrid w:val="0"/>
        <w:spacing w:line="560" w:lineRule="exact"/>
        <w:rPr>
          <w:rFonts w:hint="eastAsia" w:ascii="仿宋_GB2312" w:hAnsi="微软雅黑" w:eastAsia="仿宋_GB2312" w:cs="宋体"/>
          <w:color w:val="000000"/>
          <w:kern w:val="0"/>
          <w:sz w:val="32"/>
          <w:szCs w:val="32"/>
        </w:rPr>
      </w:pPr>
    </w:p>
    <w:p w14:paraId="02FCEAF5">
      <w:pPr>
        <w:adjustRightInd w:val="0"/>
        <w:snapToGrid w:val="0"/>
        <w:spacing w:line="560" w:lineRule="exact"/>
        <w:rPr>
          <w:rFonts w:hint="eastAsia" w:ascii="仿宋_GB2312" w:hAnsi="微软雅黑" w:eastAsia="仿宋_GB2312" w:cs="宋体"/>
          <w:color w:val="000000"/>
          <w:kern w:val="0"/>
          <w:sz w:val="32"/>
          <w:szCs w:val="32"/>
        </w:rPr>
      </w:pPr>
    </w:p>
    <w:p w14:paraId="783AED5A">
      <w:pPr>
        <w:adjustRightInd w:val="0"/>
        <w:snapToGrid w:val="0"/>
        <w:spacing w:line="560" w:lineRule="exact"/>
        <w:rPr>
          <w:rFonts w:hint="eastAsia" w:ascii="仿宋_GB2312" w:hAnsi="微软雅黑" w:eastAsia="仿宋_GB2312" w:cs="宋体"/>
          <w:color w:val="000000"/>
          <w:kern w:val="0"/>
          <w:sz w:val="32"/>
          <w:szCs w:val="32"/>
        </w:rPr>
      </w:pPr>
    </w:p>
    <w:p w14:paraId="742A4131">
      <w:pPr>
        <w:adjustRightInd w:val="0"/>
        <w:snapToGrid w:val="0"/>
        <w:spacing w:line="560" w:lineRule="exact"/>
        <w:rPr>
          <w:rFonts w:hint="eastAsia" w:ascii="仿宋_GB2312" w:hAnsi="微软雅黑" w:eastAsia="仿宋_GB2312" w:cs="宋体"/>
          <w:color w:val="000000"/>
          <w:kern w:val="0"/>
          <w:sz w:val="32"/>
          <w:szCs w:val="32"/>
        </w:rPr>
      </w:pPr>
    </w:p>
    <w:p w14:paraId="612E2F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TRlNGNjM2M3ZWI1ODdjOTc4MWE2ZmE4NWJiZTQifQ=="/>
  </w:docVars>
  <w:rsids>
    <w:rsidRoot w:val="6AC300DE"/>
    <w:rsid w:val="6AC3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2024-10-25T01:11:00Z</dcterms:created>
  <dc:creator>WPS_1694959955</dc:creator>
  <cp:lastModifiedBy>WPS_1694959955</cp:lastModifiedBy>
  <dcterms:modified xsi:type="dcterms:W3CDTF">2024-10-25T01:12:10Z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A6176BECBF064C249FB9FC6A0CF30A69_11</vt:lpwstr>
  </property>
</Properties>
</file>