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color w:val="FF0000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安农财</w:t>
      </w:r>
      <w:r>
        <w:rPr>
          <w:rFonts w:hint="eastAsia" w:ascii="仿宋_GB2312" w:hAnsi="宋体" w:eastAsia="仿宋_GB2312"/>
          <w:bCs/>
          <w:sz w:val="32"/>
          <w:szCs w:val="32"/>
        </w:rPr>
        <w:t>〔202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32"/>
          <w:szCs w:val="32"/>
        </w:rPr>
        <w:t>〕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91</w:t>
      </w:r>
      <w:r>
        <w:rPr>
          <w:rFonts w:hint="eastAsia" w:ascii="仿宋_GB2312" w:hAnsi="宋体" w:eastAsia="仿宋_GB2312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安溪县农业农村局</w:t>
      </w:r>
      <w:r>
        <w:rPr>
          <w:rFonts w:hint="eastAsia" w:ascii="方正小标宋简体" w:eastAsia="方正小标宋简体"/>
          <w:sz w:val="44"/>
          <w:szCs w:val="44"/>
        </w:rPr>
        <w:t>关于下达2023年中央农业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经营主体能力提升资金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新型农业经营主体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服务中心建设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项目资金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西坪镇政府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为支持做好农业经营主体能力提升相关工作，根据《福建省财政厅福建省农业农村厅关于下达2023年中央农业经营主体能力提升资金的通知》(闽财农指[2023]45号)及《福建省农业农村厅 福建省财政厅关于印发2023年中央农业经营主体能力提升项目实施方案的通知》（闽农综〔2023〕105）文件精神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，2023年我县列为省级新型农业经营主体服务中心建设试点单位，省厅下达新型农业经营主体服务中心建设项目补助资金30万元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,经遴选确定，安溪县德茗茶叶专业合作社为新型农业经营主体服务中心承建单位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。目前，服务中心已完成筹建工作，正在履行相关服务协议，按照《农业经营主体能力提升资金管理办法》（财农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〔2023〕11号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的要求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2023年中央农业经营主体能力提升资金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新型农业经营主体服务中心建设项目补助资金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，补助名单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详见附件。</w:t>
      </w:r>
      <w:r>
        <w:rPr>
          <w:rFonts w:hint="eastAsia" w:ascii="仿宋_GB2312" w:eastAsia="仿宋_GB2312"/>
          <w:sz w:val="32"/>
          <w:szCs w:val="32"/>
        </w:rPr>
        <w:t>请有关乡镇在项目组织验收后及时将补助资金拨付到项目实施单位，做到专款专用。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right="0" w:rightChars="0" w:hanging="1600" w:hanging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新型农业经营主体服务中心建设项目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right="0" w:rightChars="0" w:hanging="1280" w:hangingChars="4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76" w:rightChars="560" w:firstLine="4800" w:firstLineChars="15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安溪县农业农村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176" w:rightChars="560" w:firstLine="5120" w:firstLineChars="1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5" w:leftChars="912" w:right="0" w:rightChars="0" w:firstLine="2720" w:firstLineChars="8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ascii="仿宋_GB2312" w:eastAsia="仿宋_GB2312"/>
          <w:color w:val="FF0000"/>
          <w:sz w:val="32"/>
          <w:szCs w:val="32"/>
        </w:rPr>
      </w:pPr>
    </w:p>
    <w:p>
      <w:pP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p>
      <w:pPr>
        <w:rPr>
          <w:rFonts w:ascii="仿宋_GB2312" w:eastAsia="仿宋_GB2312"/>
          <w:color w:val="FF0000"/>
          <w:sz w:val="32"/>
          <w:szCs w:val="32"/>
        </w:rPr>
      </w:pPr>
    </w:p>
    <w:p>
      <w:pPr>
        <w:rPr>
          <w:rFonts w:ascii="仿宋_GB2312" w:eastAsia="仿宋_GB2312"/>
          <w:color w:val="FF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74" w:bottom="1587" w:left="1474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9"/>
        <w:tblW w:w="137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95"/>
        <w:gridCol w:w="372"/>
        <w:gridCol w:w="1833"/>
        <w:gridCol w:w="8"/>
        <w:gridCol w:w="1345"/>
        <w:gridCol w:w="973"/>
        <w:gridCol w:w="1579"/>
        <w:gridCol w:w="2164"/>
        <w:gridCol w:w="1177"/>
        <w:gridCol w:w="871"/>
        <w:gridCol w:w="524"/>
        <w:gridCol w:w="821"/>
        <w:gridCol w:w="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40" w:hRule="atLeast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附件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3779" w:type="dxa"/>
            <w:gridSpan w:val="1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安溪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县202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年中央农业经营主体能力提升资金专项资金分配表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项目承建单位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项目地址</w:t>
            </w:r>
          </w:p>
        </w:tc>
        <w:tc>
          <w:tcPr>
            <w:tcW w:w="334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补助环节建设内容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补助资金（万元）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服务中心建设</w:t>
            </w:r>
          </w:p>
        </w:tc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2023年度新型农业经营主体服务中心建设项目</w:t>
            </w:r>
          </w:p>
        </w:tc>
        <w:tc>
          <w:tcPr>
            <w:tcW w:w="232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安溪县德茗茶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叶专业合作社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西坪镇</w:t>
            </w:r>
          </w:p>
        </w:tc>
        <w:tc>
          <w:tcPr>
            <w:tcW w:w="334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购买服务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before="156" w:line="360" w:lineRule="exact"/>
        <w:jc w:val="left"/>
        <w:sectPr>
          <w:pgSz w:w="16838" w:h="11906" w:orient="landscape"/>
          <w:pgMar w:top="851" w:right="1474" w:bottom="79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before="156" w:line="3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316865</wp:posOffset>
                </wp:positionV>
                <wp:extent cx="55816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4885" y="9260840"/>
                          <a:ext cx="558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85pt;margin-top:24.95pt;height:0pt;width:439.5pt;z-index:251658240;mso-width-relative:page;mso-height-relative:page;" filled="f" stroked="t" coordsize="21600,21600" o:gfxdata="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cizMtMAAAAHAQAADwAAAAAAAAABACAAAAAiAAAAZHJzL2Rvd25yZXYu&#10;eG1sUEsBAhQAFAAAAAgAh07iQKkni1vHAQAAVwMAAA4AAAAAAAAAAQAgAAAAIgEAAGRycy9lMm9E&#10;b2MueG1sUEsFBgAAAAAGAAYAWQEAAFs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before="156" w:line="360" w:lineRule="exact"/>
        <w:ind w:firstLine="320" w:firstLineChars="1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360680</wp:posOffset>
                </wp:positionV>
                <wp:extent cx="55816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85pt;margin-top:28.4pt;height:0pt;width:439.5pt;z-index:251659264;mso-width-relative:page;mso-height-relative:page;" filled="f" stroked="t" coordsize="21600,21600" o:gfxdata="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IVnj21AAAAAcBAAAPAAAAAAAAAAEAIAAAACIAAABkcnMvZG93bnJldi54bWxQSwECFAAU&#10;AAAACACHTuJAsls+h7wBAABMAwAADgAAAAAAAAABACAAAAAjAQAAZHJzL2Uyb0RvYy54bWxQSwUG&#10;AAAAAAYABgBZAQAAUQ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安溪县农业农村局办公室                2024年12月30日印发</w:t>
      </w:r>
    </w:p>
    <w:sectPr>
      <w:pgSz w:w="11906" w:h="16838"/>
      <w:pgMar w:top="1701" w:right="1474" w:bottom="1701" w:left="1474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jgzOGJlNjg1MjA1MTMxMGYwNWI3YjExZjNlODQifQ=="/>
  </w:docVars>
  <w:rsids>
    <w:rsidRoot w:val="004222BD"/>
    <w:rsid w:val="00001CFD"/>
    <w:rsid w:val="00046317"/>
    <w:rsid w:val="00080FA9"/>
    <w:rsid w:val="000B4CC4"/>
    <w:rsid w:val="000D2BC8"/>
    <w:rsid w:val="001178DE"/>
    <w:rsid w:val="00162A04"/>
    <w:rsid w:val="00171E45"/>
    <w:rsid w:val="00172EC0"/>
    <w:rsid w:val="001B43E8"/>
    <w:rsid w:val="001C1B5E"/>
    <w:rsid w:val="001F6DEE"/>
    <w:rsid w:val="00281203"/>
    <w:rsid w:val="00281213"/>
    <w:rsid w:val="00287F21"/>
    <w:rsid w:val="002A5714"/>
    <w:rsid w:val="002F47FC"/>
    <w:rsid w:val="002F5939"/>
    <w:rsid w:val="00300D16"/>
    <w:rsid w:val="00306348"/>
    <w:rsid w:val="003245E2"/>
    <w:rsid w:val="00352B0B"/>
    <w:rsid w:val="003B32B9"/>
    <w:rsid w:val="003E1892"/>
    <w:rsid w:val="003F4F33"/>
    <w:rsid w:val="004222BD"/>
    <w:rsid w:val="004951E7"/>
    <w:rsid w:val="004A45A9"/>
    <w:rsid w:val="004B285A"/>
    <w:rsid w:val="0051236A"/>
    <w:rsid w:val="00520CED"/>
    <w:rsid w:val="00635479"/>
    <w:rsid w:val="0064461E"/>
    <w:rsid w:val="00665267"/>
    <w:rsid w:val="006A1264"/>
    <w:rsid w:val="006A7877"/>
    <w:rsid w:val="006B4275"/>
    <w:rsid w:val="006F04D4"/>
    <w:rsid w:val="007224C8"/>
    <w:rsid w:val="00725129"/>
    <w:rsid w:val="0073659D"/>
    <w:rsid w:val="00736F93"/>
    <w:rsid w:val="00756465"/>
    <w:rsid w:val="00761D79"/>
    <w:rsid w:val="00780361"/>
    <w:rsid w:val="007C769A"/>
    <w:rsid w:val="007D6A2E"/>
    <w:rsid w:val="007E6120"/>
    <w:rsid w:val="0086053C"/>
    <w:rsid w:val="00863C70"/>
    <w:rsid w:val="0088755A"/>
    <w:rsid w:val="00961E09"/>
    <w:rsid w:val="009F3977"/>
    <w:rsid w:val="00A422B0"/>
    <w:rsid w:val="00A44CDF"/>
    <w:rsid w:val="00AA3019"/>
    <w:rsid w:val="00AB0393"/>
    <w:rsid w:val="00AB3284"/>
    <w:rsid w:val="00AD25E2"/>
    <w:rsid w:val="00AF0603"/>
    <w:rsid w:val="00B31C3F"/>
    <w:rsid w:val="00B417DE"/>
    <w:rsid w:val="00B711B1"/>
    <w:rsid w:val="00B848DC"/>
    <w:rsid w:val="00B87E0F"/>
    <w:rsid w:val="00BC03BA"/>
    <w:rsid w:val="00BD4E86"/>
    <w:rsid w:val="00BE2D2D"/>
    <w:rsid w:val="00C52635"/>
    <w:rsid w:val="00C55C07"/>
    <w:rsid w:val="00C70264"/>
    <w:rsid w:val="00C83FB5"/>
    <w:rsid w:val="00C856E7"/>
    <w:rsid w:val="00CA3CAA"/>
    <w:rsid w:val="00CB764D"/>
    <w:rsid w:val="00CD521B"/>
    <w:rsid w:val="00D15ABC"/>
    <w:rsid w:val="00D6258E"/>
    <w:rsid w:val="00D67DAF"/>
    <w:rsid w:val="00D90130"/>
    <w:rsid w:val="00DC14D5"/>
    <w:rsid w:val="00DD4CDA"/>
    <w:rsid w:val="00DD7381"/>
    <w:rsid w:val="00DE73E6"/>
    <w:rsid w:val="00DF273B"/>
    <w:rsid w:val="00E0029B"/>
    <w:rsid w:val="00E062F5"/>
    <w:rsid w:val="00E436A6"/>
    <w:rsid w:val="00E765A6"/>
    <w:rsid w:val="00E86218"/>
    <w:rsid w:val="00EF671D"/>
    <w:rsid w:val="00F146C9"/>
    <w:rsid w:val="00F352BC"/>
    <w:rsid w:val="00F507A6"/>
    <w:rsid w:val="00F567D5"/>
    <w:rsid w:val="00F92780"/>
    <w:rsid w:val="00F94545"/>
    <w:rsid w:val="00FC2070"/>
    <w:rsid w:val="03B44679"/>
    <w:rsid w:val="049E6070"/>
    <w:rsid w:val="06185D43"/>
    <w:rsid w:val="0759191E"/>
    <w:rsid w:val="089F5FBB"/>
    <w:rsid w:val="08D102AE"/>
    <w:rsid w:val="093735E0"/>
    <w:rsid w:val="09766681"/>
    <w:rsid w:val="0A011042"/>
    <w:rsid w:val="0BA20C7A"/>
    <w:rsid w:val="0EBD5130"/>
    <w:rsid w:val="10CE7FC8"/>
    <w:rsid w:val="12934EF6"/>
    <w:rsid w:val="15170DCC"/>
    <w:rsid w:val="15F5110D"/>
    <w:rsid w:val="1842575A"/>
    <w:rsid w:val="1E8B0070"/>
    <w:rsid w:val="222D1EB3"/>
    <w:rsid w:val="22491093"/>
    <w:rsid w:val="251D0139"/>
    <w:rsid w:val="253A583D"/>
    <w:rsid w:val="27191A3F"/>
    <w:rsid w:val="29D42814"/>
    <w:rsid w:val="3068328A"/>
    <w:rsid w:val="34635B19"/>
    <w:rsid w:val="348E17B2"/>
    <w:rsid w:val="35E2253E"/>
    <w:rsid w:val="36C24BE4"/>
    <w:rsid w:val="372A7FEE"/>
    <w:rsid w:val="37A72A28"/>
    <w:rsid w:val="37CD6E08"/>
    <w:rsid w:val="38957C5B"/>
    <w:rsid w:val="3B4958D4"/>
    <w:rsid w:val="3B9F54F4"/>
    <w:rsid w:val="3C3119DD"/>
    <w:rsid w:val="3F0052B3"/>
    <w:rsid w:val="477346B1"/>
    <w:rsid w:val="496D68F9"/>
    <w:rsid w:val="4D2D7B0B"/>
    <w:rsid w:val="50A64E23"/>
    <w:rsid w:val="5472334E"/>
    <w:rsid w:val="58E13901"/>
    <w:rsid w:val="59531410"/>
    <w:rsid w:val="59AB1D57"/>
    <w:rsid w:val="5B2544D1"/>
    <w:rsid w:val="5D1622FC"/>
    <w:rsid w:val="5E954AF2"/>
    <w:rsid w:val="5ED17794"/>
    <w:rsid w:val="5F9C79DD"/>
    <w:rsid w:val="66914F31"/>
    <w:rsid w:val="66FF1217"/>
    <w:rsid w:val="67867BE6"/>
    <w:rsid w:val="693420B8"/>
    <w:rsid w:val="6A2048FC"/>
    <w:rsid w:val="6A9B3212"/>
    <w:rsid w:val="6C2D4049"/>
    <w:rsid w:val="6C9D7967"/>
    <w:rsid w:val="6DAF2664"/>
    <w:rsid w:val="6FD57503"/>
    <w:rsid w:val="739947E0"/>
    <w:rsid w:val="77E001B0"/>
    <w:rsid w:val="78335C43"/>
    <w:rsid w:val="7AF35CBE"/>
    <w:rsid w:val="7B860E57"/>
    <w:rsid w:val="7BEA2626"/>
    <w:rsid w:val="7CE565F1"/>
    <w:rsid w:val="7EFA62F0"/>
    <w:rsid w:val="7F3F5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Char Char Char Char Char Char Char"/>
    <w:basedOn w:val="1"/>
    <w:link w:val="6"/>
    <w:qFormat/>
    <w:uiPriority w:val="0"/>
    <w:rPr>
      <w:szCs w:val="21"/>
    </w:rPr>
  </w:style>
  <w:style w:type="character" w:styleId="8">
    <w:name w:val="page number"/>
    <w:basedOn w:val="6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 Char Char Char Char"/>
    <w:basedOn w:val="1"/>
    <w:qFormat/>
    <w:uiPriority w:val="0"/>
    <w:rPr>
      <w:szCs w:val="20"/>
    </w:rPr>
  </w:style>
  <w:style w:type="character" w:customStyle="1" w:styleId="12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565</Words>
  <Characters>616</Characters>
  <Lines>102</Lines>
  <Paragraphs>28</Paragraphs>
  <TotalTime>0</TotalTime>
  <ScaleCrop>false</ScaleCrop>
  <LinksUpToDate>false</LinksUpToDate>
  <CharactersWithSpaces>685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2020-08-20T08:20:00Z</dcterms:created>
  <dc:creator>微软用户</dc:creator>
  <cp:lastModifiedBy>Administrator</cp:lastModifiedBy>
  <cp:lastPrinted>2024-12-25T07:03:00Z</cp:lastPrinted>
  <dcterms:modified xsi:type="dcterms:W3CDTF">2024-12-30T01:27:18Z</dcterms:modified>
  <dc:title>0001                                        机密★一年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AD778B60F40C4B2A8361483552E6BC70</vt:lpwstr>
  </property>
  <property fmtid="{D5CDD505-2E9C-101B-9397-08002B2CF9AE}" pid="4" name="KSOTemplateDocerSaveRecord">
    <vt:lpwstr>eyJoZGlkIjoiNDE5MjZhZTVkMzAyZDNhYmI5OTJjODY2ODI5MTdlODgiLCJ1c2VySWQiOiIyMTY2NTIxOTMifQ==</vt:lpwstr>
  </property>
</Properties>
</file>