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shd w:val="clear" w:color="auto" w:fill="FFFFFF"/>
          <w:lang w:val="en-US" w:eastAsia="zh-CN"/>
        </w:rPr>
        <w:t>安农〔2024〕93号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10101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44"/>
          <w:szCs w:val="44"/>
          <w:shd w:val="clear" w:color="auto" w:fill="FFFFFF"/>
          <w:lang w:val="en-US" w:eastAsia="zh-CN"/>
        </w:rPr>
        <w:t>安溪县农业农村局</w:t>
      </w: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44"/>
          <w:szCs w:val="44"/>
          <w:shd w:val="clear" w:color="auto" w:fill="FFFFFF"/>
          <w:lang w:eastAsia="zh-CN"/>
        </w:rPr>
        <w:t>关于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10101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44"/>
          <w:szCs w:val="44"/>
          <w:shd w:val="clear" w:color="auto" w:fill="FFFFFF"/>
        </w:rPr>
        <w:t>组织打击</w:t>
      </w: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44"/>
          <w:szCs w:val="44"/>
          <w:shd w:val="clear" w:color="auto" w:fill="FFFFFF"/>
          <w:lang w:eastAsia="zh-CN"/>
        </w:rPr>
        <w:t>生猪</w:t>
      </w: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44"/>
          <w:szCs w:val="44"/>
          <w:shd w:val="clear" w:color="auto" w:fill="FFFFFF"/>
        </w:rPr>
        <w:t>私屠滥宰专项行动</w:t>
      </w: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44"/>
          <w:szCs w:val="44"/>
          <w:shd w:val="clear" w:color="auto" w:fill="FFFFFF"/>
          <w:lang w:eastAsia="zh-CN"/>
        </w:rPr>
        <w:t>的通知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default" w:asciiTheme="minorEastAsia" w:hAnsiTheme="minorEastAsia" w:cstheme="minorEastAsia"/>
          <w:i w:val="0"/>
          <w:iCs w:val="0"/>
          <w:caps w:val="0"/>
          <w:spacing w:val="7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default" w:asciiTheme="minorEastAsia" w:hAnsiTheme="minorEastAsia" w:cstheme="minorEastAsia"/>
          <w:i w:val="0"/>
          <w:iCs w:val="0"/>
          <w:caps w:val="0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各乡镇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社会事务服务中心，局属相关单位：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为进一步加强肉类产品质量安全源头监管，保障肉类产品质量安全，我局</w:t>
      </w:r>
      <w:r>
        <w:rPr>
          <w:rFonts w:hint="eastAsia" w:ascii="仿宋_GB2312" w:hAnsi="仿宋" w:eastAsia="仿宋_GB2312" w:cs="仿宋"/>
          <w:sz w:val="32"/>
          <w:szCs w:val="32"/>
        </w:rPr>
        <w:t>决定从即日起到2024年12月底，在全县深入开展严厉打击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生猪私屠滥宰</w:t>
      </w:r>
      <w:r>
        <w:rPr>
          <w:rFonts w:hint="eastAsia" w:ascii="仿宋_GB2312" w:hAnsi="仿宋" w:eastAsia="仿宋_GB2312" w:cs="仿宋"/>
          <w:sz w:val="32"/>
          <w:szCs w:val="32"/>
        </w:rPr>
        <w:t>违法行为专项行动。现就有关事项通知如下：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治理行动坚持整顿与规范相结合、治标与治本相结合，以取缔打击私屠滥宰窝点，捣毁私屠滥宰肉品非法经营网络为重点，从屠宰、加工、销售等环节入手，集中开展私屠滥宰综合治理，力争捣毁一批私屠滥宰窝点，打击一批违法犯罪行为，抓获一批违法犯罪分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以实际行动守护好群众舌尖上的安全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生猪定点屠宰场周边、私宰专业村（户）、城乡结合部、主要交通道路周边为重点区域，采取明察暗访相结合，定期巡查与突击检查相结合，主动出击与群众举报相结合等方式，进行拉网式检查，不放过任何盲区和死角，深入整治违规屠宰生猪行为，彻底捣毁私屠滥宰窝点，没收私宰肉和屠宰工具，对从事私屠滥宰活动，或者为私屠滥宰提供场所或储存设施的单位和个人，依法给予严厉处罚。要强化行政执法与刑事司法的有效衔接，对构成犯罪的要坚决依法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（一）强化部门执法。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打击私屠滥宰专项行动的组织协调工作，严厉查处私屠滥宰、冒用或者使用伪造定点屠宰证书或标志牌的行为，彻底捣毁私屠滥宰窝点，没收私宰肉和屠宰工具。依法严厉查处违法人员，并列入“黑名单”，实行重点盯防；涉嫌犯罪的，及时依法移送公安机关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（二）落实属地监管职责。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根据《生猪屠宰管理条例》第四条第二款“乡镇人民政府、街道办事处应当加强生猪定点屠宰的宣传教育，协助做好生猪屠宰监督管理工作。”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各乡镇要及时召开村（居）主干会议，部署打击私屠滥宰专项行动；要依托综治管理网格，组织开展拉网式排查，全面摸清辖区内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生猪</w:t>
      </w:r>
      <w:r>
        <w:rPr>
          <w:rFonts w:hint="eastAsia" w:ascii="仿宋_GB2312" w:hAnsi="仿宋_GB2312" w:eastAsia="仿宋_GB2312" w:cs="仿宋_GB2312"/>
          <w:sz w:val="32"/>
          <w:szCs w:val="32"/>
        </w:rPr>
        <w:t>私屠滥宰窝点及屠宰时间，掌握违法违规线索，及时上报并配合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联合执法。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（三）加强社会舆论引导。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各乡镇要采取广播电视、手机微信、短信、发放宣传单等方式，广泛宣传开展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打击生猪</w:t>
      </w:r>
      <w:r>
        <w:rPr>
          <w:rFonts w:hint="eastAsia" w:ascii="仿宋_GB2312" w:hAnsi="仿宋_GB2312" w:eastAsia="仿宋_GB2312" w:cs="仿宋_GB2312"/>
          <w:sz w:val="32"/>
          <w:szCs w:val="32"/>
        </w:rPr>
        <w:t>私屠滥宰专项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的意义和目的，普及公众消费安全知识，提高全社会对畜禽屠宰监管工作支持力度，形成群防群治、齐抓共管的工作局面。对行动中的经验做法、典型案例要及时宣传，违法违规行为要及时曝光。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三、有关要求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和局属相关单位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要充分认识专项行动对于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保障我县肉产品质量安全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的重要意义，切实加强组织领导，强化工作保障，安排专人负责，细化方案，明确工作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，扎实推进打击私屠滥宰专项行动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内不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发生因私屠滥宰导致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假劣肉品</w:t>
      </w:r>
      <w:r>
        <w:rPr>
          <w:rFonts w:hint="eastAsia" w:ascii="仿宋_GB2312" w:hAnsi="仿宋_GB2312" w:eastAsia="仿宋_GB2312" w:cs="仿宋_GB2312"/>
          <w:sz w:val="32"/>
          <w:szCs w:val="32"/>
        </w:rPr>
        <w:t>扩散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请各乡镇组织开展辖区内生猪私屠滥宰窝点的巡查、线索摸排工作，于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2024年10月10日前报送附件1扫描版（加盖公章）。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县农业农村局联系人：陈伯煌 0595-26061234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"mailto:axnyzf@163.com"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axnyzf@163.com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附件：生猪私屠滥宰窝点摸底调查表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安溪县农业农村局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2024年9月20日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3" w:type="default"/>
          <w:pgSz w:w="11906" w:h="16838"/>
          <w:pgMar w:top="1701" w:right="1474" w:bottom="1587" w:left="1474" w:header="851" w:footer="992" w:gutter="0"/>
          <w:paperSrc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2"/>
        </w:rPr>
      </w:pPr>
      <w:r>
        <w:rPr>
          <w:rFonts w:hint="eastAsia" w:ascii="方正小标宋简体" w:eastAsia="方正小标宋简体"/>
          <w:bCs/>
          <w:sz w:val="36"/>
          <w:szCs w:val="32"/>
        </w:rPr>
        <w:t>生猪</w:t>
      </w:r>
      <w:r>
        <w:rPr>
          <w:rFonts w:hint="eastAsia" w:ascii="方正小标宋简体" w:eastAsia="方正小标宋简体"/>
          <w:bCs/>
          <w:sz w:val="36"/>
          <w:szCs w:val="32"/>
          <w:lang w:eastAsia="zh-CN"/>
        </w:rPr>
        <w:t>私屠滥宰窝点</w:t>
      </w:r>
      <w:r>
        <w:rPr>
          <w:rFonts w:hint="eastAsia" w:ascii="方正小标宋简体" w:eastAsia="方正小标宋简体"/>
          <w:bCs/>
          <w:sz w:val="36"/>
          <w:szCs w:val="32"/>
        </w:rPr>
        <w:t>摸底调查表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填报乡镇：（盖章）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乡镇联系人及联系方式：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             填报时间：</w:t>
      </w:r>
    </w:p>
    <w:tbl>
      <w:tblPr>
        <w:tblStyle w:val="11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90"/>
        <w:gridCol w:w="3097"/>
        <w:gridCol w:w="3600"/>
        <w:gridCol w:w="1830"/>
        <w:gridCol w:w="188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屠宰点负责人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居住地地址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屠宰点地址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日屠宰量（头）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60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备注：</w:t>
      </w:r>
      <w:r>
        <w:rPr>
          <w:rFonts w:hint="eastAsia"/>
          <w:b w:val="0"/>
          <w:bCs w:val="0"/>
          <w:lang w:val="en-US" w:eastAsia="zh-CN"/>
        </w:rPr>
        <w:t>1、需摸排的</w:t>
      </w:r>
      <w:r>
        <w:rPr>
          <w:rFonts w:hint="eastAsia"/>
          <w:b w:val="0"/>
          <w:bCs w:val="0"/>
          <w:lang w:eastAsia="zh-CN"/>
        </w:rPr>
        <w:t>生猪私宰点为：长期从事生猪屠宰活动、具有屠宰设施（猪灶、猪栏、屠宰工具等）的固定屠宰场所。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2、屠宰点地址尽量详细，具体到角落（门牌号）。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381000</wp:posOffset>
                </wp:positionV>
                <wp:extent cx="5534025" cy="19050"/>
                <wp:effectExtent l="0" t="6350" r="9525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6pt;margin-top:30pt;height:1.5pt;width:435.75pt;z-index:251659264;mso-width-relative:page;mso-height-relative:page;" filled="f" stroked="t" coordsize="21600,21600" o:gfxdata="UEsDBAoAAAAAAIdO4kAAAAAAAAAAAAAAAAAEAAAAZHJzL1BLAwQUAAAACACHTuJAUnIdIdQAAAAH&#10;AQAADwAAAGRycy9kb3ducmV2LnhtbE2PwU7DMBBE70j8g7WVuFE7jVRCiNNDJG5I0FJxduJtEhqv&#10;o9hp079nOcFxdkYzb4vd4gZxwSn0njQkawUCqfG2p1bD8fP1MQMRoiFrBk+o4YYBduX9XWFy66+0&#10;x8shtoJLKORGQxfjmEsZmg6dCWs/IrF38pMzkeXUSjuZK5e7QW6U2kpneuKFzoxYddicD7PT0Msq&#10;qb+m6vRxwyyN6fv++21etH5YJeoFRMQl/oXhF5/RoWSm2s9kgxg0PG84qGGr+CO2s0w9gaj5kCqQ&#10;ZSH/85c/UEsDBBQAAAAIAIdO4kCcMPGR1AEAAHIDAAAOAAAAZHJzL2Uyb0RvYy54bWytU72OEzEQ&#10;7pF4B8s92U1C4G6VzRUXHQ2CSMD1E6+9a8l/8phs8hK8ABIdVJT0vA3HYzB2QjigQ2wxsufnG3/f&#10;zC6v9tawnYyovWv5dFJzJp3wnXZ9y9+8vnl0wRkmcB0Y72TLDxL51erhg+UYGjnzgzedjIxAHDZj&#10;aPmQUmiqCsUgLeDEB+koqHy0kOga+6qLMBK6NdWsrp9Uo49diF5IRPKuj0G+KvhKSZFeKoUyMdNy&#10;elsqNha7zbZaLaHpI4RBi9Mz4B9eYUE7anqGWkMC9jbqv6CsFtGjV2kivK28UlrIwoHYTOs/2Lwa&#10;IMjChcTBcJYJ/x+seLHbRKa7ls85c2BpRHfvv3x79/H71w9k7z5/YvMs0hiwodxrt4mnG4ZNzIz3&#10;KlqmjA63NP+iAbFi+yLx4Syx3CcmyLlYzB/XswVngmLTy3pRRlAdYTJciJieSW9ZPrTcaJcVgAZ2&#10;zzFRa0r9mZLdzt9oY8oUjWMjYc6e1jRoAbRMykCiow1ED13PGZietlSkWCDRG93l8gyEsd9em8h2&#10;kDelfJk3tfstLfdeAw7HvBI67pDViRbZaNvyi/vVxhFIVu+oVz5tfXcoMhY/Dba0OS1h3pz791L9&#10;61dZ/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Sch0h1AAAAAcBAAAPAAAAAAAAAAEAIAAAACIA&#10;AABkcnMvZG93bnJldi54bWxQSwECFAAUAAAACACHTuJAnDDxkdQBAAByAwAADgAAAAAAAAABACAA&#10;AAAjAQAAZHJzL2Uyb0RvYy54bWxQSwUGAAAAAAYABgBZAQAAa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19050</wp:posOffset>
                </wp:positionV>
                <wp:extent cx="5534025" cy="19050"/>
                <wp:effectExtent l="0" t="6350" r="9525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94410" y="9176385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6pt;margin-top:1.5pt;height:1.5pt;width:435.75pt;z-index:251658240;mso-width-relative:page;mso-height-relative:page;" filled="f" stroked="t" coordsize="21600,21600" o:gfxdata="UEsDBAoAAAAAAIdO4kAAAAAAAAAAAAAAAAAEAAAAZHJzL1BLAwQUAAAACACHTuJATgHELNMAAAAF&#10;AQAADwAAAGRycy9kb3ducmV2LnhtbE2PwU7DMBBE70j8g7WVuFE7jVRCiNNDJG5I0FJxduJtEhqv&#10;o9hp079nOcFxNKOZN8VucYO44BR6TxqStQKB1HjbU6vh+Pn6mIEI0ZA1gyfUcMMAu/L+rjC59Vfa&#10;4+UQW8ElFHKjoYtxzKUMTYfOhLUfkdg7+cmZyHJqpZ3MlcvdIDdKbaUzPfFCZ0asOmzOh9lp6GWV&#10;1F9Tdfq4YZbG9H3//TYvWj+sEvUCIuIS/8Lwi8/oUDJT7WeyQQwanjcc1JDyIXazTD2BqDVsFciy&#10;kP/pyx9QSwMEFAAAAAgAh07iQAzFj4DhAQAAfQMAAA4AAABkcnMvZTJvRG9jLnhtbK1TS44TMRDd&#10;I3EHy3vSn0lmklY6s5ho2CCIxGdfcdvdlvyTbdLJJbgAEjtYsWTPbRiOQdkdhgF2iF6Uyq7yq3qv&#10;qtfXR63IgfsgrWlpNSsp4YbZTpq+pa9f3T5ZUhIimA6UNbylJx7o9ebxo/XoGl7bwaqOe4IgJjSj&#10;a+kQo2uKIrCBawgz67jBoLBeQ8Sj74vOw4joWhV1WV4Wo/Wd85bxEPB2OwXpJuMLwVl8IUTgkaiW&#10;Ym8xW5/tPtlis4am9+AGyc5twD90oUEaLHoPtYUI5K2Xf0FpybwNVsQZs7qwQkjGMwdkU5V/sHk5&#10;gOOZC4oT3L1M4f/BsueHnSeya2lNiQGNI7p7/+Xbu4/fv35Ae/f5E6mTSKMLDebemJ0/n4Lb+cT4&#10;KLwmQkn3BuefNUBW5NjS1Wo+r1DzE7rV1eXFcjGpzY+RMIwvFhfzsl5QwjCjWpWLPI1iQkzIzof4&#10;lFtNktNSJU0SAxo4PAsRu8DUnynp2thbqVQeqDJkRMz6qsT6DHCvhIKIrnbINJieElA9LiyLPkMG&#10;q2SXnieg4Pv9jfLkAGlp8pc6x3K/paXaWwjDlJdDE0EtI+60krqly4evlUGQJOQkXfL2tjtlRfM9&#10;zjiXOe9jWqKH5/z611+z+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AcQs0wAAAAUBAAAPAAAA&#10;AAAAAAEAIAAAACIAAABkcnMvZG93bnJldi54bWxQSwECFAAUAAAACACHTuJADMWPgOEBAAB9AwAA&#10;DgAAAAAAAAABACAAAAAiAQAAZHJzL2Uyb0RvYy54bWxQSwUGAAAAAAYABgBZAQAAd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安溪县农业农村局办公室                  2024年9月20日印发</w:t>
      </w:r>
    </w:p>
    <w:sectPr>
      <w:type w:val="continuous"/>
      <w:pgSz w:w="11906" w:h="16838"/>
      <w:pgMar w:top="1701" w:right="1474" w:bottom="1587" w:left="1474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hruti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athJax_Vector">
    <w:altName w:val="Trebuchet MS"/>
    <w:panose1 w:val="02000603000000000000"/>
    <w:charset w:val="00"/>
    <w:family w:val="auto"/>
    <w:pitch w:val="default"/>
    <w:sig w:usb0="00000000" w:usb1="00000000" w:usb2="00000000" w:usb3="00000000" w:csb0="0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MTIxY2RkYWQzOTkyOTNlOTNmZmYzYTI3YjA3NjUifQ=="/>
  </w:docVars>
  <w:rsids>
    <w:rsidRoot w:val="00000000"/>
    <w:rsid w:val="00774555"/>
    <w:rsid w:val="335E69B0"/>
    <w:rsid w:val="3E277D89"/>
    <w:rsid w:val="59FE430E"/>
    <w:rsid w:val="6C9E24ED"/>
    <w:rsid w:val="6FC90EF3"/>
    <w:rsid w:val="6FFF8079"/>
    <w:rsid w:val="7F7B370A"/>
    <w:rsid w:val="7FF14057"/>
    <w:rsid w:val="D7F9EEC1"/>
    <w:rsid w:val="DF7F0D5A"/>
    <w:rsid w:val="F7FFA34E"/>
    <w:rsid w:val="FBB68999"/>
    <w:rsid w:val="FBBD10C0"/>
    <w:rsid w:val="FFD5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next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2024-09-12T14:13:00Z</dcterms:created>
  <dc:creator>Administrator</dc:creator>
  <cp:lastModifiedBy>Administrator</cp:lastModifiedBy>
  <cp:lastPrinted>2024-09-20T15:12:00Z</cp:lastPrinted>
  <dcterms:modified xsi:type="dcterms:W3CDTF">2024-09-20T07:39:14Z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4473271DAFC7ABA45D20ED6667B4FEB8</vt:lpwstr>
  </property>
</Properties>
</file>