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安农〔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  <w:t>安溪县农业农村局关于申报20</w:t>
      </w: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  <w:t>年中央</w:t>
      </w: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eastAsia="zh-CN"/>
        </w:rPr>
        <w:t>新型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  <w:t>农业</w:t>
      </w: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eastAsia="zh-CN"/>
        </w:rPr>
        <w:t>经营主体培育</w:t>
      </w: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  <w:t>资金（农民合作社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  <w:t>项目</w:t>
      </w: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eastAsia="zh-CN"/>
        </w:rPr>
        <w:t>和家庭农场项目</w:t>
      </w: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  <w:t>）的</w:t>
      </w: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各乡镇：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福建省财政厅 福建省农业农村厅关于提前下达2024年中央农业经营主体能力提升资金的通知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闽财农指〔2023〕119号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《福建省财政厅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福建省农业农村厅关于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年中央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新型农业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资金的通知》（闽财农指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号）文件精神，现将申报20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年中央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资金农民合作社项目和家庭农场项目的有关事项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center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《福建省财政厅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福建省农业农村厅关于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年中央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新型农业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资金的通知》（闽财农指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〔202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的要求，本次支持对象条件如下：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1.农民合作社项目优先支持2023年及之前评定未获得补助的国家级和省级农民合作社示范社（优质社）;未获得中央和省级补助的县级以上农民合作社示范社（优质社）。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2.家庭农场项目优先支持2023年及之前评定未获得补助的省级示范家庭农场（优质场）;未获得中央和省级补助的县级以上家庭农场示范场（优质场）。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3.支持2023年及之前未获得补助的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家庭农场组建农民合作社、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新型农业经营主体（农民合作社和家庭农场等）协会或联盟等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、县级及以上联合社示范社（优质社）、农民合作社办公司。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center"/>
        <w:outlineLvl w:val="9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二、申报名额及补助金额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1.农民合作社项目申报名额2个以上，承担国家级、省级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示范社（优质社）每个补助资金不超过30万元，设区市级、县级示范社（优质社）每个补助资金不超过10万元。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2.家庭农场发展项目申报名额3个以上，承担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示范家庭农场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（优质场）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每个补助10万元。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家庭农场组建农民合作社、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新型农业经营主体（农民合作社和家庭农场等）协会或联盟等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、县级及以上联合社示范社（优质社）、农民合作社办公司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每个补助30万元。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center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申报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材料要求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center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（一）农民合作社培育项目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1.2024年中央新型农业经营主体培育资金项目意向实施单位申请表（附件1）。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2.2023年度财务报表。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3.2023年完整的农事生产记录（以“一品一码”追溯管理平台的记录为准）。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4.各类资格证书复印件（例如营业执照、动物防疫合格证书等，以上复印件需加盖合作社或合作社联合社公章）。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上述材料以书面形式上报安溪县农业农村局（安溪县金融行政服务中心2号楼813室），联系人：詹敏华，13348519567。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center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（二）家庭农场培育项目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1.2024年中央农业生产发展资金项目意向实施单位申请表（附件1）。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2.2023年完整的农事生产记录（以“一品一码”追溯管理平台的记录为准）。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家庭农场“随手记”记账软件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记录截图。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4.各类资格证书复印件（例如营业执照、动物防疫合格证书等，以上复印件需加家庭农场公章）。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上述材料以书面形式上报安溪县农业农村局（安溪县金融行政服务中心2号楼801室），联系人：谢莉莉，18750451178。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center"/>
        <w:outlineLvl w:val="9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</w:rPr>
        <w:t>申报时间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center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2024年9月6日至9月14日。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请各乡镇组织辖区内符合条件的新型农业经营主体积极申报，并将此通知转发到各村基层小微权力微信监督群予以公开。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right="0" w:rightChars="0" w:hanging="1280" w:hangingChars="4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附件：1.2024年中央农业生产发展资金项目意向实施单位申请表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right="0" w:rightChars="0" w:hanging="320" w:hangingChars="1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2.福建省财政厅 福建省农业农村厅关于调整2024年中央新型农业经营主体培育资金的通知（闽财农指〔2024〕37号）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440" w:firstLineChars="17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878" w:firstLineChars="1837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2024年9月6日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>
      <w:pPr>
        <w:spacing w:after="156" w:afterLines="50" w:line="540" w:lineRule="exact"/>
        <w:jc w:val="center"/>
        <w:rPr>
          <w:rFonts w:hint="eastAsia" w:ascii="方正小标宋简体" w:eastAsia="方正小标宋简体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32"/>
          <w:szCs w:val="32"/>
        </w:rPr>
        <w:t>202</w:t>
      </w:r>
      <w:r>
        <w:rPr>
          <w:rFonts w:hint="eastAsia" w:ascii="方正小标宋简体" w:eastAsia="方正小标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2"/>
          <w:szCs w:val="32"/>
        </w:rPr>
        <w:t>年中央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新型</w:t>
      </w:r>
      <w:r>
        <w:rPr>
          <w:rFonts w:hint="eastAsia" w:ascii="方正小标宋简体" w:eastAsia="方正小标宋简体"/>
          <w:color w:val="auto"/>
          <w:sz w:val="32"/>
          <w:szCs w:val="32"/>
        </w:rPr>
        <w:t>农业</w:t>
      </w:r>
      <w:r>
        <w:rPr>
          <w:rFonts w:hint="eastAsia" w:ascii="方正小标宋简体" w:eastAsia="方正小标宋简体"/>
          <w:color w:val="auto"/>
          <w:sz w:val="32"/>
          <w:szCs w:val="32"/>
          <w:lang w:eastAsia="zh-CN"/>
        </w:rPr>
        <w:t>经营主体培育</w:t>
      </w:r>
      <w:r>
        <w:rPr>
          <w:rFonts w:hint="eastAsia" w:ascii="方正小标宋简体" w:eastAsia="方正小标宋简体"/>
          <w:color w:val="auto"/>
          <w:sz w:val="32"/>
          <w:szCs w:val="32"/>
        </w:rPr>
        <w:t>资金项目意向实施单位申请表</w:t>
      </w:r>
    </w:p>
    <w:tbl>
      <w:tblPr>
        <w:tblStyle w:val="5"/>
        <w:tblW w:w="9794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9"/>
        <w:gridCol w:w="531"/>
        <w:gridCol w:w="2979"/>
        <w:gridCol w:w="1485"/>
        <w:gridCol w:w="870"/>
        <w:gridCol w:w="24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实施单位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（加盖公章）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联系人：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联系电话：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建设地点</w:t>
            </w:r>
          </w:p>
        </w:tc>
        <w:tc>
          <w:tcPr>
            <w:tcW w:w="8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1" w:hRule="atLeast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实施单位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简介</w:t>
            </w:r>
          </w:p>
        </w:tc>
        <w:tc>
          <w:tcPr>
            <w:tcW w:w="8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exact"/>
        </w:trPr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eastAsia="zh-CN" w:bidi="ar"/>
              </w:rPr>
              <w:t>申请补助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eastAsia="zh-CN" w:bidi="ar"/>
              </w:rPr>
              <w:t>资金用途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建设内容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总投资</w:t>
            </w:r>
          </w:p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（万元）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建设规模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exac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exac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exac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exac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exac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exact"/>
        </w:trPr>
        <w:tc>
          <w:tcPr>
            <w:tcW w:w="1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exact"/>
        </w:trPr>
        <w:tc>
          <w:tcPr>
            <w:tcW w:w="4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小计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/>
          <w:color w:val="auto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314325</wp:posOffset>
                </wp:positionV>
                <wp:extent cx="5753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7735" y="901446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24.75pt;height:0pt;width:453pt;z-index:251658240;mso-width-relative:page;mso-height-relative:page;" filled="f" stroked="t" coordsize="21600,21600" o:gfxdata="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MlqQbWAAAACAEAAA8AAAAAAAAAAQAgAAAA&#10;IgAAAGRycy9kb3ducmV2LnhtbFBLAQIUABQAAAAIAIdO4kAo+6Cu1AEAAG4DAAAOAAAAAAAAAAEA&#10;IAAAACU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</w:pPr>
      <w:bookmarkStart w:id="0" w:name="_GoBack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377825</wp:posOffset>
                </wp:positionV>
                <wp:extent cx="5753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29.75pt;height:0pt;width:453pt;z-index:251659264;mso-width-relative:page;mso-height-relative:page;" filled="f" stroked="t" coordsize="21600,21600" o:gfxdata="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1v7FNYAAAAIAQAADwAAAAAAAAABACAAAAAiAAAAZHJzL2Rvd25y&#10;ZXYueG1sUEsBAhQAFAAAAAgAh07iQJqcWiPHAQAAYwMAAA4AAAAAAAAAAQAgAAAAJQEAAGRycy9l&#10;Mm9Eb2MueG1sUEsFBgAAAAAGAAYAWQEAAF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36"/>
          <w:lang w:val="en-US" w:eastAsia="zh-CN"/>
        </w:rPr>
        <w:t>安溪县农业农村局办公室                   2024年9月6日印发</w:t>
      </w:r>
    </w:p>
    <w:sectPr>
      <w:footerReference r:id="rId3" w:type="default"/>
      <w:pgSz w:w="11906" w:h="16838"/>
      <w:pgMar w:top="1701" w:right="1474" w:bottom="1587" w:left="1474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42.5pt;mso-position-horizontal:outside;mso-position-horizontal-relative:margin;z-index:251658240;mso-width-relative:page;mso-height-relative:page;" filled="f" stroked="f" coordsize="21600,21600" o:gfxdata="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6eK+dMAAAAEAQAADwAAAAAA&#10;AAABACAAAAAiAAAAZHJzL2Rvd25yZXYueG1sUEsBAhQAFAAAAAgAh07iQMyKii8YAgAAFAQAAA4A&#10;AAAAAAAAAQAgAAAAIg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jZhZTVkMzAyZDNhYmI5OTJjODY2ODI5MTdlODgifQ=="/>
  </w:docVars>
  <w:rsids>
    <w:rsidRoot w:val="4A6951ED"/>
    <w:rsid w:val="00545634"/>
    <w:rsid w:val="049857AE"/>
    <w:rsid w:val="05A0352F"/>
    <w:rsid w:val="067F5F62"/>
    <w:rsid w:val="06D476ED"/>
    <w:rsid w:val="071C0116"/>
    <w:rsid w:val="071E1776"/>
    <w:rsid w:val="093C394F"/>
    <w:rsid w:val="097F1A8E"/>
    <w:rsid w:val="10183216"/>
    <w:rsid w:val="13217861"/>
    <w:rsid w:val="135305B4"/>
    <w:rsid w:val="17730E9B"/>
    <w:rsid w:val="1BB500A8"/>
    <w:rsid w:val="1FED13DC"/>
    <w:rsid w:val="20E7316F"/>
    <w:rsid w:val="22620EB7"/>
    <w:rsid w:val="23AA735D"/>
    <w:rsid w:val="25E64E60"/>
    <w:rsid w:val="27532138"/>
    <w:rsid w:val="2A8D6B7C"/>
    <w:rsid w:val="2AED2B71"/>
    <w:rsid w:val="2CFE22BA"/>
    <w:rsid w:val="303B2B11"/>
    <w:rsid w:val="33C817B8"/>
    <w:rsid w:val="34346374"/>
    <w:rsid w:val="34A65B59"/>
    <w:rsid w:val="3593542B"/>
    <w:rsid w:val="36F15974"/>
    <w:rsid w:val="383F6CE4"/>
    <w:rsid w:val="39FD6561"/>
    <w:rsid w:val="3B895CD0"/>
    <w:rsid w:val="3BE71B69"/>
    <w:rsid w:val="3D9406C6"/>
    <w:rsid w:val="3F5A215C"/>
    <w:rsid w:val="401C0EE6"/>
    <w:rsid w:val="426F30C0"/>
    <w:rsid w:val="42754D43"/>
    <w:rsid w:val="459711AF"/>
    <w:rsid w:val="478F28C0"/>
    <w:rsid w:val="4A6951ED"/>
    <w:rsid w:val="4AF255AC"/>
    <w:rsid w:val="4B810772"/>
    <w:rsid w:val="4E671319"/>
    <w:rsid w:val="4F120DF5"/>
    <w:rsid w:val="53BE6D08"/>
    <w:rsid w:val="543F2D91"/>
    <w:rsid w:val="54B9621A"/>
    <w:rsid w:val="554973B1"/>
    <w:rsid w:val="55736215"/>
    <w:rsid w:val="570128A5"/>
    <w:rsid w:val="577F4C67"/>
    <w:rsid w:val="59007D34"/>
    <w:rsid w:val="5AFF7905"/>
    <w:rsid w:val="5C1E3DBB"/>
    <w:rsid w:val="60224110"/>
    <w:rsid w:val="616A14E3"/>
    <w:rsid w:val="67326D68"/>
    <w:rsid w:val="68490412"/>
    <w:rsid w:val="6AA91EAE"/>
    <w:rsid w:val="6AF47EF4"/>
    <w:rsid w:val="6B070174"/>
    <w:rsid w:val="6E766BCD"/>
    <w:rsid w:val="6ED13F5D"/>
    <w:rsid w:val="725F14FA"/>
    <w:rsid w:val="77600897"/>
    <w:rsid w:val="7DC4750C"/>
    <w:rsid w:val="7DDED116"/>
    <w:rsid w:val="7E560205"/>
    <w:rsid w:val="7E5D1143"/>
    <w:rsid w:val="F3FB42D5"/>
    <w:rsid w:val="FAF117E1"/>
    <w:rsid w:val="FF7F6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1259</Words>
  <Characters>1381</Characters>
  <Lines>0</Lines>
  <Paragraphs>0</Paragraphs>
  <ScaleCrop>false</ScaleCrop>
  <LinksUpToDate>false</LinksUpToDate>
  <CharactersWithSpaces>1395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2022-08-12T10:22:00Z</dcterms:created>
  <dc:creator>HP</dc:creator>
  <cp:lastModifiedBy>Administrator</cp:lastModifiedBy>
  <cp:lastPrinted>2024-09-05T02:41:00Z</cp:lastPrinted>
  <dcterms:modified xsi:type="dcterms:W3CDTF">2024-09-06T08:12:08Z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B34C1B9C5223CBA33389D566B02C8390</vt:lpwstr>
  </property>
</Properties>
</file>