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ascii="仿宋_GB2312" w:eastAsia="仿宋_GB2312"/>
          <w:sz w:val="32"/>
          <w:szCs w:val="32"/>
        </w:rPr>
      </w:pPr>
      <w:r>
        <w:rPr>
          <w:rFonts w:hint="eastAsia" w:ascii="仿宋_GB2312" w:hAnsi="Arial" w:eastAsia="仿宋_GB2312" w:cs="Arial"/>
          <w:kern w:val="0"/>
          <w:sz w:val="32"/>
          <w:szCs w:val="32"/>
        </w:rPr>
        <w:t>安农〔</w:t>
      </w:r>
      <w:r>
        <w:rPr>
          <w:rFonts w:ascii="仿宋_GB2312" w:hAnsi="Arial" w:eastAsia="仿宋_GB2312" w:cs="Arial"/>
          <w:kern w:val="0"/>
          <w:sz w:val="32"/>
          <w:szCs w:val="32"/>
        </w:rPr>
        <w:t>202</w:t>
      </w:r>
      <w:r>
        <w:rPr>
          <w:rFonts w:hint="eastAsia" w:ascii="仿宋_GB2312" w:hAnsi="Arial" w:eastAsia="仿宋_GB2312" w:cs="Arial"/>
          <w:kern w:val="0"/>
          <w:sz w:val="32"/>
          <w:szCs w:val="32"/>
        </w:rPr>
        <w:t>4〕</w:t>
      </w:r>
      <w:r>
        <w:rPr>
          <w:rFonts w:hint="eastAsia" w:ascii="仿宋_GB2312" w:hAnsi="Arial" w:eastAsia="仿宋_GB2312" w:cs="Arial"/>
          <w:kern w:val="0"/>
          <w:sz w:val="32"/>
          <w:szCs w:val="32"/>
          <w:lang w:val="en-US" w:eastAsia="zh-CN"/>
        </w:rPr>
        <w:t>62</w:t>
      </w:r>
      <w:r>
        <w:rPr>
          <w:rFonts w:hint="eastAsia" w:ascii="仿宋_GB2312" w:hAnsi="Arial" w:eastAsia="仿宋_GB2312" w:cs="Arial"/>
          <w:kern w:val="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 w:val="32"/>
          <w:szCs w:val="32"/>
        </w:rPr>
      </w:pPr>
    </w:p>
    <w:p>
      <w:pPr>
        <w:widowControl/>
        <w:shd w:val="clear" w:color="auto" w:fill="FFFFFF"/>
        <w:spacing w:line="640" w:lineRule="exact"/>
        <w:jc w:val="center"/>
        <w:rPr>
          <w:rFonts w:ascii="方正小标宋简体" w:eastAsia="方正小标宋简体"/>
          <w:sz w:val="44"/>
          <w:szCs w:val="32"/>
        </w:rPr>
      </w:pPr>
      <w:r>
        <w:rPr>
          <w:rFonts w:hint="eastAsia" w:ascii="方正小标宋简体" w:eastAsia="方正小标宋简体"/>
          <w:sz w:val="44"/>
          <w:szCs w:val="32"/>
        </w:rPr>
        <w:t>安溪县农业农村局关于印发</w:t>
      </w:r>
    </w:p>
    <w:p>
      <w:pPr>
        <w:widowControl/>
        <w:shd w:val="clear" w:color="auto" w:fill="FFFFFF"/>
        <w:spacing w:line="640" w:lineRule="exact"/>
        <w:jc w:val="center"/>
        <w:rPr>
          <w:rFonts w:ascii="方正小标宋简体" w:eastAsia="方正小标宋简体"/>
          <w:sz w:val="44"/>
          <w:szCs w:val="32"/>
        </w:rPr>
      </w:pPr>
      <w:r>
        <w:rPr>
          <w:rFonts w:ascii="方正小标宋简体" w:eastAsia="方正小标宋简体"/>
          <w:sz w:val="44"/>
          <w:szCs w:val="32"/>
        </w:rPr>
        <w:t>202</w:t>
      </w:r>
      <w:r>
        <w:rPr>
          <w:rFonts w:hint="eastAsia" w:ascii="方正小标宋简体" w:eastAsia="方正小标宋简体"/>
          <w:sz w:val="44"/>
          <w:szCs w:val="32"/>
        </w:rPr>
        <w:t>4年安溪县</w:t>
      </w:r>
      <w:r>
        <w:rPr>
          <w:rFonts w:hint="eastAsia" w:ascii="方正小标宋简体" w:hAnsi="华文中宋" w:eastAsia="方正小标宋简体" w:cs="华文中宋"/>
          <w:color w:val="000000"/>
          <w:sz w:val="44"/>
          <w:szCs w:val="44"/>
        </w:rPr>
        <w:t>耕地质量提升实施方案的通知</w:t>
      </w:r>
    </w:p>
    <w:p>
      <w:pPr>
        <w:widowControl/>
        <w:shd w:val="clear" w:color="auto" w:fill="FFFFFF"/>
        <w:spacing w:line="540" w:lineRule="exact"/>
        <w:jc w:val="center"/>
        <w:rPr>
          <w:rFonts w:ascii="黑体" w:hAnsi="宋体" w:eastAsia="黑体" w:cs="Arial"/>
          <w:color w:val="000000"/>
          <w:spacing w:val="15"/>
          <w:kern w:val="0"/>
          <w:sz w:val="36"/>
          <w:szCs w:val="36"/>
        </w:rPr>
      </w:pPr>
    </w:p>
    <w:p>
      <w:pPr>
        <w:widowControl/>
        <w:shd w:val="clear" w:color="auto" w:fill="FFFFFF"/>
        <w:spacing w:line="5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各乡镇：</w:t>
      </w:r>
    </w:p>
    <w:p>
      <w:pPr>
        <w:widowControl/>
        <w:shd w:val="clear" w:color="auto" w:fill="FFFFFF"/>
        <w:spacing w:line="5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为贯彻落实</w:t>
      </w:r>
      <w:r>
        <w:rPr>
          <w:rFonts w:hint="eastAsia" w:ascii="仿宋_GB2312" w:hAnsi="仿宋" w:eastAsia="仿宋_GB2312"/>
          <w:spacing w:val="-10"/>
          <w:sz w:val="32"/>
          <w:szCs w:val="32"/>
        </w:rPr>
        <w:t>《2024年福建省科</w:t>
      </w:r>
      <w:r>
        <w:rPr>
          <w:rFonts w:hint="eastAsia" w:ascii="仿宋_GB2312" w:hAnsi="宋体" w:eastAsia="仿宋_GB2312"/>
          <w:spacing w:val="-10"/>
          <w:sz w:val="32"/>
          <w:szCs w:val="32"/>
        </w:rPr>
        <w:t>学施肥增效项目实施方案》及</w:t>
      </w:r>
      <w:r>
        <w:rPr>
          <w:rFonts w:ascii="仿宋_GB2312" w:hAnsi="宋体" w:eastAsia="仿宋_GB2312"/>
          <w:spacing w:val="-10"/>
          <w:sz w:val="32"/>
          <w:szCs w:val="32"/>
        </w:rPr>
        <w:t>《</w:t>
      </w:r>
      <w:r>
        <w:rPr>
          <w:rFonts w:hint="eastAsia" w:ascii="仿宋_GB2312" w:hAnsi="宋体" w:eastAsia="仿宋_GB2312"/>
          <w:spacing w:val="-10"/>
          <w:sz w:val="32"/>
          <w:szCs w:val="32"/>
        </w:rPr>
        <w:t>泉州市农业农村局关于印发2024</w:t>
      </w:r>
      <w:r>
        <w:rPr>
          <w:rFonts w:ascii="仿宋_GB2312" w:hAnsi="宋体" w:eastAsia="仿宋_GB2312"/>
          <w:spacing w:val="-10"/>
          <w:sz w:val="32"/>
          <w:szCs w:val="32"/>
        </w:rPr>
        <w:t>年科站工作要点汇编》</w:t>
      </w:r>
      <w:r>
        <w:rPr>
          <w:rFonts w:hint="eastAsia" w:ascii="仿宋_GB2312" w:hAnsi="Times New Roman" w:eastAsia="仿宋_GB2312" w:cs="仿宋_GB2312"/>
          <w:sz w:val="32"/>
          <w:szCs w:val="32"/>
        </w:rPr>
        <w:t>文件要求，推进耕地质量提升，践行藏粮于地战略，改善农业生态环境，减少化肥施用量，促进农业绿色高质量发展，结合我县农业生产实际，我局制定《</w:t>
      </w:r>
      <w:r>
        <w:rPr>
          <w:rFonts w:ascii="仿宋_GB2312" w:hAnsi="Times New Roman" w:eastAsia="仿宋_GB2312" w:cs="仿宋_GB2312"/>
          <w:sz w:val="32"/>
          <w:szCs w:val="32"/>
        </w:rPr>
        <w:t>202</w:t>
      </w:r>
      <w:r>
        <w:rPr>
          <w:rFonts w:hint="eastAsia" w:ascii="仿宋_GB2312" w:hAnsi="Times New Roman" w:eastAsia="仿宋_GB2312" w:cs="仿宋_GB2312"/>
          <w:sz w:val="32"/>
          <w:szCs w:val="32"/>
        </w:rPr>
        <w:t>4年安溪县耕地质量提升实施方案》，现印发给你们，请结合当地实际，认真组织实施。</w:t>
      </w:r>
    </w:p>
    <w:p>
      <w:pPr>
        <w:spacing w:line="540" w:lineRule="exact"/>
        <w:ind w:firstLine="640"/>
        <w:jc w:val="center"/>
        <w:rPr>
          <w:rFonts w:ascii="仿宋_GB2312" w:eastAsia="仿宋_GB2312"/>
          <w:color w:val="000000"/>
          <w:sz w:val="32"/>
          <w:szCs w:val="32"/>
        </w:rPr>
      </w:pPr>
    </w:p>
    <w:p>
      <w:pPr>
        <w:spacing w:line="540" w:lineRule="exact"/>
        <w:ind w:firstLine="640"/>
        <w:jc w:val="center"/>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安溪县农业农村局</w:t>
      </w:r>
    </w:p>
    <w:p>
      <w:pPr>
        <w:tabs>
          <w:tab w:val="left" w:pos="7740"/>
          <w:tab w:val="left" w:pos="7920"/>
        </w:tabs>
        <w:spacing w:line="540" w:lineRule="exact"/>
        <w:ind w:firstLine="5436" w:firstLineChars="1699"/>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4年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日</w:t>
      </w:r>
    </w:p>
    <w:p>
      <w:pPr>
        <w:tabs>
          <w:tab w:val="left" w:pos="7740"/>
          <w:tab w:val="left" w:pos="7920"/>
        </w:tabs>
        <w:spacing w:line="540" w:lineRule="exact"/>
        <w:rPr>
          <w:rFonts w:ascii="仿宋_GB2312" w:hAnsi="宋体" w:eastAsia="仿宋_GB2312"/>
          <w:color w:val="000000"/>
          <w:sz w:val="28"/>
          <w:szCs w:val="28"/>
        </w:rPr>
      </w:pPr>
      <w:r>
        <w:rPr>
          <w:rFonts w:hint="eastAsia" w:ascii="仿宋_GB2312" w:eastAsia="仿宋_GB2312"/>
          <w:color w:val="000000"/>
          <w:sz w:val="32"/>
          <w:szCs w:val="32"/>
        </w:rPr>
        <w:t>（此件公开发布）</w:t>
      </w:r>
    </w:p>
    <w:p>
      <w:pPr>
        <w:snapToGrid w:val="0"/>
        <w:spacing w:line="540" w:lineRule="exact"/>
        <w:jc w:val="center"/>
        <w:rPr>
          <w:rFonts w:ascii="方正小标宋简体" w:hAnsi="宋体" w:eastAsia="方正小标宋简体"/>
          <w:sz w:val="44"/>
          <w:szCs w:val="44"/>
        </w:rPr>
      </w:pPr>
      <w:r>
        <w:rPr>
          <w:rFonts w:ascii="宋体"/>
          <w:b/>
          <w:sz w:val="44"/>
          <w:szCs w:val="44"/>
        </w:rPr>
        <w:br w:type="page"/>
      </w:r>
      <w:r>
        <w:rPr>
          <w:rFonts w:ascii="方正小标宋简体" w:hAnsi="宋体" w:eastAsia="方正小标宋简体"/>
          <w:sz w:val="44"/>
          <w:szCs w:val="44"/>
        </w:rPr>
        <w:t>202</w:t>
      </w:r>
      <w:r>
        <w:rPr>
          <w:rFonts w:hint="eastAsia" w:ascii="方正小标宋简体" w:hAnsi="宋体" w:eastAsia="方正小标宋简体"/>
          <w:sz w:val="44"/>
          <w:szCs w:val="44"/>
        </w:rPr>
        <w:t>4年安溪县耕地质量提升实施方案</w:t>
      </w:r>
    </w:p>
    <w:p>
      <w:pPr>
        <w:snapToGrid w:val="0"/>
        <w:spacing w:line="360" w:lineRule="auto"/>
        <w:ind w:firstLine="640" w:firstLineChars="200"/>
        <w:rPr>
          <w:rFonts w:ascii="仿宋_GB2312" w:hAnsi="Times New Roman" w:eastAsia="仿宋_GB2312" w:cs="仿宋_GB2312"/>
          <w:sz w:val="32"/>
          <w:szCs w:val="32"/>
        </w:rPr>
      </w:pPr>
    </w:p>
    <w:p>
      <w:pPr>
        <w:snapToGrid w:val="0"/>
        <w:spacing w:line="580" w:lineRule="exact"/>
        <w:ind w:firstLine="640" w:firstLineChars="20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为贯彻落实《2024年福建省科学施肥增效项目实施方案》及</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泉州市农业农村局关于印发2024</w:t>
      </w:r>
      <w:r>
        <w:rPr>
          <w:rFonts w:ascii="仿宋_GB2312" w:hAnsi="Times New Roman" w:eastAsia="仿宋_GB2312" w:cs="仿宋_GB2312"/>
          <w:sz w:val="32"/>
          <w:szCs w:val="32"/>
        </w:rPr>
        <w:t>年科站工作要点汇编》</w:t>
      </w:r>
      <w:r>
        <w:rPr>
          <w:rFonts w:hint="eastAsia" w:ascii="仿宋_GB2312" w:hAnsi="Times New Roman" w:eastAsia="仿宋_GB2312" w:cs="仿宋_GB2312"/>
          <w:sz w:val="32"/>
          <w:szCs w:val="32"/>
        </w:rPr>
        <w:t>要求，特制定本实施方案。</w:t>
      </w:r>
    </w:p>
    <w:p>
      <w:pPr>
        <w:snapToGrid w:val="0"/>
        <w:spacing w:line="580" w:lineRule="exact"/>
        <w:ind w:firstLine="627" w:firstLineChars="196"/>
        <w:jc w:val="both"/>
        <w:rPr>
          <w:rFonts w:ascii="黑体" w:hAnsi="Times New Roman" w:eastAsia="黑体" w:cs="仿宋_GB2312"/>
          <w:sz w:val="32"/>
          <w:szCs w:val="32"/>
        </w:rPr>
      </w:pPr>
      <w:r>
        <w:rPr>
          <w:rFonts w:hint="eastAsia" w:ascii="黑体" w:hAnsi="Times New Roman" w:eastAsia="黑体" w:cs="仿宋_GB2312"/>
          <w:sz w:val="32"/>
          <w:szCs w:val="32"/>
        </w:rPr>
        <w:t>一、目的意义</w:t>
      </w:r>
    </w:p>
    <w:p>
      <w:pPr>
        <w:snapToGrid w:val="0"/>
        <w:spacing w:line="580" w:lineRule="exact"/>
        <w:ind w:firstLine="627" w:firstLineChars="196"/>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践行藏粮于地战略，推进全县耕地质量提升，加快推广绿肥种植、实施秸秆还田和推广有机肥，促进有机资源转化利用，减少化肥施用量，提升耕地质量，改善农业生态环境，减少化肥施用量，保障粮食安全，促进农业绿色高质量发展的重要举措。</w:t>
      </w:r>
    </w:p>
    <w:p>
      <w:pPr>
        <w:snapToGrid w:val="0"/>
        <w:spacing w:line="580" w:lineRule="exact"/>
        <w:ind w:firstLine="627" w:firstLineChars="196"/>
        <w:jc w:val="both"/>
        <w:rPr>
          <w:rFonts w:ascii="黑体" w:hAnsi="Times New Roman" w:eastAsia="黑体" w:cs="仿宋_GB2312"/>
          <w:sz w:val="32"/>
          <w:szCs w:val="32"/>
        </w:rPr>
      </w:pPr>
      <w:r>
        <w:rPr>
          <w:rFonts w:hint="eastAsia" w:ascii="黑体" w:hAnsi="Times New Roman" w:eastAsia="黑体" w:cs="仿宋_GB2312"/>
          <w:sz w:val="32"/>
          <w:szCs w:val="32"/>
        </w:rPr>
        <w:t>二、目标任务</w:t>
      </w:r>
    </w:p>
    <w:p>
      <w:pPr>
        <w:snapToGrid w:val="0"/>
        <w:spacing w:line="580" w:lineRule="exact"/>
        <w:ind w:firstLine="627" w:firstLineChars="196"/>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示范推广绿肥种植</w:t>
      </w: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5万亩、实施秸秆还田</w:t>
      </w: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万亩、推广有机肥</w:t>
      </w:r>
      <w:r>
        <w:rPr>
          <w:rFonts w:ascii="仿宋_GB2312" w:hAnsi="Times New Roman" w:eastAsia="仿宋_GB2312" w:cs="仿宋_GB2312"/>
          <w:sz w:val="32"/>
          <w:szCs w:val="32"/>
        </w:rPr>
        <w:t>32</w:t>
      </w:r>
      <w:r>
        <w:rPr>
          <w:rFonts w:hint="eastAsia" w:ascii="仿宋_GB2312" w:hAnsi="Times New Roman" w:eastAsia="仿宋_GB2312" w:cs="仿宋_GB2312"/>
          <w:sz w:val="32"/>
          <w:szCs w:val="32"/>
        </w:rPr>
        <w:t>万亩次，具体任务清单详见附件。</w:t>
      </w:r>
    </w:p>
    <w:p>
      <w:pPr>
        <w:snapToGrid w:val="0"/>
        <w:spacing w:line="580" w:lineRule="exact"/>
        <w:ind w:firstLine="627" w:firstLineChars="196"/>
        <w:jc w:val="both"/>
        <w:rPr>
          <w:rFonts w:ascii="黑体" w:hAnsi="Times New Roman" w:eastAsia="黑体" w:cs="仿宋_GB2312"/>
          <w:sz w:val="32"/>
          <w:szCs w:val="32"/>
        </w:rPr>
      </w:pPr>
      <w:r>
        <w:rPr>
          <w:rFonts w:hint="eastAsia" w:ascii="黑体" w:hAnsi="Times New Roman" w:eastAsia="黑体" w:cs="仿宋_GB2312"/>
          <w:sz w:val="32"/>
          <w:szCs w:val="32"/>
        </w:rPr>
        <w:t>三、重点工作</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、示范推广绿肥种植</w:t>
      </w: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5万亩。在耕地和果茶园上示范推广绿肥种植，品种扩展至紫云英、箭筈豌豆、光叶苕子、绿肥油菜、绛三叶、黄花羽扇豆、鹰嘴豆、穗序木蓝等不同绿肥品种。充分利用种植豆类、花生、油菜等绿肥以及果园、茶园种植绿肥，鼓励农户将绿肥翻压还田，培肥地力，减少后季作物化肥使用量。</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、实施秸秆还田</w:t>
      </w: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万亩。因地制宜指导农户采取粉碎、堆沤、覆盖、留高茬等形式，及时将秸秆还田利用，补充土壤钾素，改善土壤理化性状。</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、推广有机肥</w:t>
      </w:r>
      <w:r>
        <w:rPr>
          <w:rFonts w:ascii="仿宋_GB2312" w:hAnsi="Times New Roman" w:eastAsia="仿宋_GB2312" w:cs="仿宋_GB2312"/>
          <w:sz w:val="32"/>
          <w:szCs w:val="32"/>
        </w:rPr>
        <w:t>32</w:t>
      </w:r>
      <w:r>
        <w:rPr>
          <w:rFonts w:hint="eastAsia" w:ascii="仿宋_GB2312" w:hAnsi="Times New Roman" w:eastAsia="仿宋_GB2312" w:cs="仿宋_GB2312"/>
          <w:sz w:val="32"/>
          <w:szCs w:val="32"/>
        </w:rPr>
        <w:t>万亩次。结合畜禽粪污资源化利用和省级商品有机肥示范推广项目，因地制宜推广畜禽粪便堆（沤）肥、沼肥、沼液、等有机肥，促进有机资源转化利用，以有机肥替代部分化肥，减少化肥施用量，实现培肥地力。</w:t>
      </w:r>
    </w:p>
    <w:p>
      <w:pPr>
        <w:snapToGrid w:val="0"/>
        <w:spacing w:line="580" w:lineRule="exact"/>
        <w:ind w:firstLine="627" w:firstLineChars="196"/>
        <w:jc w:val="both"/>
        <w:rPr>
          <w:rFonts w:ascii="黑体" w:hAnsi="Times New Roman" w:eastAsia="黑体" w:cs="仿宋_GB2312"/>
          <w:sz w:val="32"/>
          <w:szCs w:val="32"/>
        </w:rPr>
      </w:pPr>
      <w:r>
        <w:rPr>
          <w:rFonts w:hint="eastAsia" w:ascii="黑体" w:hAnsi="Times New Roman" w:eastAsia="黑体" w:cs="仿宋_GB2312"/>
          <w:sz w:val="32"/>
          <w:szCs w:val="32"/>
        </w:rPr>
        <w:t>四、耕地质量提升技术模式</w:t>
      </w:r>
      <w:r>
        <w:rPr>
          <w:rFonts w:ascii="黑体" w:hAnsi="Times New Roman" w:eastAsia="黑体" w:cs="仿宋_GB2312"/>
          <w:sz w:val="32"/>
          <w:szCs w:val="32"/>
        </w:rPr>
        <w:t xml:space="preserve"> </w:t>
      </w:r>
    </w:p>
    <w:p>
      <w:pPr>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机械粉碎还田模式：一是通过采用带有秸秆粉碎功能的水稻收割机收获水稻，将秸秆粉碎后均匀覆盖地表，利用耕地作业时，将粉碎后的秸秆翻压还田。二是在晚稻收获时，结合机械收割，将稻草均匀平铺在田面上，压至紧贴土壤表面，撒上有机物料腐熟剂</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公斤</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亩和尿素</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公斤</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亩，立即灌水至</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厘米水层，</w:t>
      </w: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天均能腐熟。</w:t>
      </w:r>
    </w:p>
    <w:p>
      <w:pPr>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、秸秆直接还田模式：一是秸秆覆盖在后季作物种植上，起到减少蒸发、提高温度等作用，并在下季作物收获后，将覆盖秸秆翻埋地里；二是将秸秆集中进行简易堆沤后直接还田。</w:t>
      </w:r>
    </w:p>
    <w:p>
      <w:pPr>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豆科绿肥秸秆还田模式：通过种植大豆、杂豆（绿豆、红豆等）、花生、菜用豆类（蚕豆、毛豆等）等豆科绿肥，在完成果实采摘的基础上，将茎秆和残体翻压还田。如花生收获后，花生藤就近还田后种植水稻和甘薯，当下季作物甘薯的夹边肥。</w:t>
      </w:r>
    </w:p>
    <w:p>
      <w:pPr>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茶果园种植绿肥技术模式：选择适用茶果园种植的紫云英、白羽扇豆、平托花生、白三叶、箭筈豌豆、光叶苕子、绿肥油菜、绛三叶、黄花羽扇豆、鹰嘴豆、穗序木蓝等绿肥。绿肥种子应进行浸种，或结合根瘤菌剂或钙镁磷肥拌种后播种；做好开沟排水，排灌自如，不积水；在绿肥生长期，可每亩追施尿素</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公斤；等绿肥成熟后，结合整园一次性翻耕入土。</w:t>
      </w:r>
    </w:p>
    <w:p>
      <w:pPr>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、紫云英绿肥种植技术模式：选择质量合格的种子，晒种后将种子与细沙按</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的比例拌匀，装入编织袋内用力揉擦，每亩加钙镁磷肥</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公斤拌种后即可播种。在播种前，一般每隔</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米左右开一条直沟，形成“十”字沟或“井”字沟，做到沟沟相通，排灌自如。亩播种量为</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公斤，生产上常在水稻收割前</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天或收割后进行，一般在</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月中下旬至</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月初播种。播种时田间保持湿润状态。水稻收割后结合灌跑马水，促进根系生长，以增强抗寒能力，减轻冻害。开春后每亩追施尿素</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公斤，促进枝叶生长，提高鲜草产量，注意防治相关病虫害。适时翻压，盛花初荚期为适宜收获期，最好控制在</w:t>
      </w:r>
      <w:r>
        <w:rPr>
          <w:rFonts w:ascii="仿宋_GB2312" w:hAnsi="Times New Roman" w:eastAsia="仿宋_GB2312" w:cs="仿宋_GB2312"/>
          <w:sz w:val="32"/>
          <w:szCs w:val="32"/>
        </w:rPr>
        <w:t>60%</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70%</w:t>
      </w:r>
      <w:r>
        <w:rPr>
          <w:rFonts w:hint="eastAsia" w:ascii="仿宋_GB2312" w:hAnsi="Times New Roman" w:eastAsia="仿宋_GB2312" w:cs="仿宋_GB2312"/>
          <w:sz w:val="32"/>
          <w:szCs w:val="32"/>
        </w:rPr>
        <w:t>开花时翻压。鲜草亩回田量以</w:t>
      </w:r>
      <w:r>
        <w:rPr>
          <w:rFonts w:ascii="仿宋_GB2312" w:hAnsi="Times New Roman" w:eastAsia="仿宋_GB2312" w:cs="仿宋_GB2312"/>
          <w:sz w:val="32"/>
          <w:szCs w:val="32"/>
        </w:rPr>
        <w:t>1500</w:t>
      </w:r>
      <w:r>
        <w:rPr>
          <w:rFonts w:hint="eastAsia" w:ascii="仿宋_GB2312" w:hAnsi="Times New Roman" w:eastAsia="仿宋_GB2312" w:cs="仿宋_GB2312"/>
          <w:sz w:val="32"/>
          <w:szCs w:val="32"/>
        </w:rPr>
        <w:t>公斤左右为宜，可根据土壤肥力或土壤质地适当调整压青量。</w:t>
      </w:r>
    </w:p>
    <w:p>
      <w:pPr>
        <w:widowControl/>
        <w:shd w:val="clear" w:color="auto" w:fill="FFFFFF"/>
        <w:spacing w:line="580" w:lineRule="exact"/>
        <w:ind w:firstLine="640" w:firstLineChars="200"/>
        <w:jc w:val="both"/>
        <w:rPr>
          <w:rFonts w:ascii="仿宋_GB2312" w:hAnsi="Times New Roman" w:eastAsia="仿宋_GB2312" w:cs="仿宋_GB2312"/>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油菜绿肥种植技术模式：油菜作为绿肥具有成本低、产量高、功效高的特点，其根系可以利用土壤难溶性磷，把深层的磷聚集到表层，有利于提高土壤中磷的有效性。在品种选择上，应选择生长势强、株型大、叶片宽、产草量高的油菜品种。油菜绿肥播种时期一般在</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月中下旬至</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月初播种，宜早不宜迟。多采用直播方式，且以撒播和条播为好，播后覆土</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厘米厚。幼苗期增施适量氮肥和磷肥，苗期注意防治油菜虫害。油菜盛花期前后</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至</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天适时压青，此时肥效最高。翻压深度也要适宜，一般为</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20</w:t>
      </w:r>
      <w:r>
        <w:rPr>
          <w:rFonts w:hint="eastAsia" w:ascii="仿宋_GB2312" w:hAnsi="Times New Roman" w:eastAsia="仿宋_GB2312" w:cs="仿宋_GB2312"/>
          <w:sz w:val="32"/>
          <w:szCs w:val="32"/>
        </w:rPr>
        <w:t>厘米，翻压过深会因缺氧而不利于发酵，过浅则不能充分腐解而发挥肥效。</w:t>
      </w:r>
    </w:p>
    <w:p>
      <w:pPr>
        <w:snapToGrid w:val="0"/>
        <w:spacing w:line="580" w:lineRule="exact"/>
        <w:ind w:firstLine="627" w:firstLineChars="196"/>
        <w:jc w:val="both"/>
        <w:rPr>
          <w:rFonts w:ascii="黑体" w:hAnsi="Times New Roman" w:eastAsia="黑体" w:cs="仿宋_GB2312"/>
          <w:sz w:val="32"/>
          <w:szCs w:val="32"/>
        </w:rPr>
      </w:pPr>
      <w:r>
        <w:rPr>
          <w:rFonts w:hint="eastAsia" w:ascii="黑体" w:hAnsi="Times New Roman" w:eastAsia="黑体" w:cs="仿宋_GB2312"/>
          <w:sz w:val="32"/>
          <w:szCs w:val="32"/>
        </w:rPr>
        <w:t>五、有关要求</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、加强组织领导。各地要强化组织协调，健全工作机制，做好督导检查，抓紧落实工作任务，及时上报工作进度，保障工作有力有序开展，确保任务按时完成。</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、细化实施方案。各地要按照县级下达的任务，结合实际，细化本区域项目实施方案。定期将项目进展情况上报县农业农村局，以便掌握项目进展。</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、做好示范带动。结合化肥减量增效项目、省级商品有机肥示范推广项目等，建立秸秆还田、绿肥种植和商品有机肥等示范片，由此辐射带动周边农民应用改土培肥技术。</w:t>
      </w:r>
    </w:p>
    <w:p>
      <w:pPr>
        <w:snapToGrid w:val="0"/>
        <w:spacing w:line="580" w:lineRule="exact"/>
        <w:ind w:firstLine="627" w:firstLineChars="196"/>
        <w:jc w:val="both"/>
        <w:rPr>
          <w:rFonts w:ascii="仿宋_GB2312" w:hAnsi="Times New Roman" w:eastAsia="仿宋_GB2312" w:cs="仿宋_GB2312"/>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强化宣传引导。各地利用土肥其他项目技术培训和各种宣传媒体等强化宣传和技术指导，大力宣传耕地质量保护与提升的重要意义，极引导农户通过推广绿肥种植、实施秸秆还田和推广有机肥，达到培肥地力，减少化肥施用量的目的。</w:t>
      </w:r>
    </w:p>
    <w:p>
      <w:pPr>
        <w:spacing w:line="580" w:lineRule="exact"/>
        <w:jc w:val="both"/>
        <w:rPr>
          <w:rFonts w:ascii="仿宋_GB2312" w:hAnsi="Times New Roman" w:eastAsia="仿宋_GB2312" w:cs="仿宋_GB2312"/>
          <w:sz w:val="32"/>
          <w:szCs w:val="32"/>
        </w:rPr>
      </w:pPr>
    </w:p>
    <w:p>
      <w:pPr>
        <w:spacing w:line="580" w:lineRule="exact"/>
        <w:ind w:firstLine="640" w:firstLineChars="20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附件：</w:t>
      </w:r>
      <w:r>
        <w:rPr>
          <w:rFonts w:ascii="仿宋_GB2312" w:hAnsi="Times New Roman" w:eastAsia="仿宋_GB2312" w:cs="仿宋_GB2312"/>
          <w:sz w:val="32"/>
          <w:szCs w:val="32"/>
        </w:rPr>
        <w:t>202</w:t>
      </w:r>
      <w:r>
        <w:rPr>
          <w:rFonts w:hint="eastAsia" w:ascii="仿宋_GB2312" w:hAnsi="Times New Roman" w:eastAsia="仿宋_GB2312" w:cs="仿宋_GB2312"/>
          <w:sz w:val="32"/>
          <w:szCs w:val="32"/>
        </w:rPr>
        <w:t>4年安溪县耕地质量提升任务分解表</w:t>
      </w:r>
    </w:p>
    <w:p>
      <w:pPr>
        <w:spacing w:line="400" w:lineRule="exact"/>
        <w:rPr>
          <w:rFonts w:ascii="黑体" w:hAnsi="宋体" w:eastAsia="黑体"/>
          <w:color w:val="000000"/>
          <w:sz w:val="32"/>
          <w:szCs w:val="32"/>
        </w:rPr>
      </w:pPr>
      <w:r>
        <w:rPr>
          <w:rFonts w:ascii="仿宋_GB2312" w:hAnsi="宋体" w:eastAsia="仿宋_GB2312"/>
          <w:b/>
          <w:color w:val="000000"/>
          <w:sz w:val="32"/>
          <w:szCs w:val="32"/>
        </w:rPr>
        <w:br w:type="page"/>
      </w:r>
      <w:r>
        <w:rPr>
          <w:rFonts w:hint="eastAsia" w:ascii="黑体" w:hAnsi="宋体" w:eastAsia="黑体"/>
          <w:color w:val="000000"/>
          <w:sz w:val="32"/>
          <w:szCs w:val="32"/>
        </w:rPr>
        <w:t>附件</w:t>
      </w:r>
    </w:p>
    <w:p>
      <w:pPr>
        <w:spacing w:beforeLines="50" w:afterLines="50" w:line="400" w:lineRule="exact"/>
        <w:jc w:val="center"/>
        <w:rPr>
          <w:rFonts w:ascii="方正小标宋简体" w:eastAsia="方正小标宋简体"/>
          <w:spacing w:val="-4"/>
          <w:sz w:val="36"/>
          <w:szCs w:val="30"/>
        </w:rPr>
      </w:pPr>
      <w:r>
        <w:rPr>
          <w:rFonts w:ascii="方正小标宋简体" w:eastAsia="方正小标宋简体"/>
          <w:spacing w:val="-4"/>
          <w:sz w:val="36"/>
          <w:szCs w:val="30"/>
        </w:rPr>
        <w:t>202</w:t>
      </w:r>
      <w:r>
        <w:rPr>
          <w:rFonts w:hint="eastAsia" w:ascii="方正小标宋简体" w:eastAsia="方正小标宋简体"/>
          <w:spacing w:val="-4"/>
          <w:sz w:val="36"/>
          <w:szCs w:val="30"/>
        </w:rPr>
        <w:t>4年安溪县耕地质量提升任务分解表</w:t>
      </w:r>
    </w:p>
    <w:tbl>
      <w:tblPr>
        <w:tblStyle w:val="8"/>
        <w:tblW w:w="9174" w:type="dxa"/>
        <w:jc w:val="center"/>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079"/>
        <w:gridCol w:w="1490"/>
        <w:gridCol w:w="1824"/>
        <w:gridCol w:w="2251"/>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1" w:type="dxa"/>
            <w:vAlign w:val="center"/>
          </w:tcPr>
          <w:p>
            <w:pPr>
              <w:widowControl/>
              <w:spacing w:line="280" w:lineRule="exact"/>
              <w:jc w:val="center"/>
              <w:rPr>
                <w:rFonts w:ascii="宋体" w:cs="宋体"/>
                <w:b/>
                <w:kern w:val="0"/>
                <w:szCs w:val="21"/>
              </w:rPr>
            </w:pPr>
            <w:r>
              <w:rPr>
                <w:rFonts w:hint="eastAsia" w:ascii="宋体" w:hAnsi="宋体" w:cs="宋体"/>
                <w:b/>
                <w:kern w:val="0"/>
                <w:szCs w:val="21"/>
              </w:rPr>
              <w:t>序号</w:t>
            </w:r>
          </w:p>
        </w:tc>
        <w:tc>
          <w:tcPr>
            <w:tcW w:w="1079" w:type="dxa"/>
            <w:vAlign w:val="center"/>
          </w:tcPr>
          <w:p>
            <w:pPr>
              <w:widowControl/>
              <w:spacing w:line="280" w:lineRule="exact"/>
              <w:jc w:val="center"/>
              <w:rPr>
                <w:rFonts w:ascii="宋体" w:cs="宋体"/>
                <w:b/>
                <w:kern w:val="0"/>
                <w:szCs w:val="21"/>
              </w:rPr>
            </w:pPr>
            <w:r>
              <w:rPr>
                <w:rFonts w:hint="eastAsia" w:ascii="宋体" w:hAnsi="宋体" w:cs="宋体"/>
                <w:b/>
                <w:kern w:val="0"/>
                <w:szCs w:val="21"/>
              </w:rPr>
              <w:t>乡镇</w:t>
            </w:r>
          </w:p>
        </w:tc>
        <w:tc>
          <w:tcPr>
            <w:tcW w:w="1490" w:type="dxa"/>
            <w:vAlign w:val="center"/>
          </w:tcPr>
          <w:p>
            <w:pPr>
              <w:spacing w:line="280" w:lineRule="exact"/>
              <w:jc w:val="center"/>
              <w:rPr>
                <w:rFonts w:ascii="宋体" w:cs="宋体"/>
                <w:b/>
                <w:kern w:val="0"/>
                <w:szCs w:val="21"/>
              </w:rPr>
            </w:pPr>
            <w:r>
              <w:rPr>
                <w:rFonts w:hint="eastAsia" w:ascii="宋体" w:hAnsi="宋体" w:cs="宋体"/>
                <w:b/>
                <w:kern w:val="0"/>
                <w:szCs w:val="21"/>
              </w:rPr>
              <w:t>推广有机肥（万亩次）</w:t>
            </w:r>
          </w:p>
        </w:tc>
        <w:tc>
          <w:tcPr>
            <w:tcW w:w="1824" w:type="dxa"/>
            <w:vAlign w:val="center"/>
          </w:tcPr>
          <w:p>
            <w:pPr>
              <w:widowControl/>
              <w:spacing w:line="280" w:lineRule="exact"/>
              <w:jc w:val="center"/>
              <w:rPr>
                <w:rFonts w:ascii="宋体" w:cs="宋体"/>
                <w:b/>
                <w:kern w:val="0"/>
                <w:szCs w:val="21"/>
              </w:rPr>
            </w:pPr>
            <w:r>
              <w:rPr>
                <w:rFonts w:hint="eastAsia" w:ascii="宋体" w:hAnsi="宋体" w:cs="宋体"/>
                <w:b/>
                <w:kern w:val="0"/>
                <w:szCs w:val="21"/>
              </w:rPr>
              <w:t>实施秸秆还田</w:t>
            </w:r>
            <w:r>
              <w:rPr>
                <w:rFonts w:ascii="宋体" w:hAnsi="宋体" w:cs="宋体"/>
                <w:b/>
                <w:kern w:val="0"/>
                <w:szCs w:val="21"/>
              </w:rPr>
              <w:t>(</w:t>
            </w:r>
            <w:r>
              <w:rPr>
                <w:rFonts w:hint="eastAsia" w:ascii="宋体" w:hAnsi="宋体" w:cs="宋体"/>
                <w:b/>
                <w:kern w:val="0"/>
                <w:szCs w:val="21"/>
              </w:rPr>
              <w:t>亩</w:t>
            </w:r>
            <w:r>
              <w:rPr>
                <w:rFonts w:ascii="宋体" w:hAnsi="宋体" w:cs="宋体"/>
                <w:b/>
                <w:kern w:val="0"/>
                <w:szCs w:val="21"/>
              </w:rPr>
              <w:t>)</w:t>
            </w:r>
          </w:p>
        </w:tc>
        <w:tc>
          <w:tcPr>
            <w:tcW w:w="2251" w:type="dxa"/>
          </w:tcPr>
          <w:p>
            <w:pPr>
              <w:widowControl/>
              <w:spacing w:line="280" w:lineRule="exact"/>
              <w:jc w:val="center"/>
              <w:rPr>
                <w:rFonts w:ascii="宋体" w:hAnsi="宋体" w:cs="宋体"/>
                <w:b/>
                <w:kern w:val="0"/>
                <w:szCs w:val="21"/>
              </w:rPr>
            </w:pPr>
            <w:r>
              <w:rPr>
                <w:rFonts w:hint="eastAsia" w:ascii="宋体" w:hAnsi="宋体" w:cs="宋体"/>
                <w:b/>
                <w:kern w:val="0"/>
                <w:szCs w:val="21"/>
              </w:rPr>
              <w:t>推广测土配方施肥</w:t>
            </w:r>
          </w:p>
          <w:p>
            <w:pPr>
              <w:widowControl/>
              <w:spacing w:line="280" w:lineRule="exact"/>
              <w:jc w:val="center"/>
              <w:rPr>
                <w:rFonts w:ascii="宋体" w:hAnsi="宋体" w:cs="宋体"/>
                <w:b/>
                <w:kern w:val="0"/>
                <w:szCs w:val="21"/>
              </w:rPr>
            </w:pPr>
            <w:r>
              <w:rPr>
                <w:rFonts w:hint="eastAsia" w:ascii="宋体" w:hAnsi="宋体" w:cs="宋体"/>
                <w:b/>
                <w:kern w:val="0"/>
                <w:szCs w:val="21"/>
              </w:rPr>
              <w:t>(万亩次)</w:t>
            </w:r>
          </w:p>
        </w:tc>
        <w:tc>
          <w:tcPr>
            <w:tcW w:w="1829" w:type="dxa"/>
            <w:vAlign w:val="center"/>
          </w:tcPr>
          <w:p>
            <w:pPr>
              <w:spacing w:line="280" w:lineRule="exact"/>
              <w:jc w:val="center"/>
              <w:rPr>
                <w:rFonts w:ascii="宋体" w:cs="宋体"/>
                <w:b/>
                <w:kern w:val="0"/>
                <w:szCs w:val="21"/>
              </w:rPr>
            </w:pPr>
            <w:r>
              <w:rPr>
                <w:rFonts w:hint="eastAsia" w:ascii="宋体" w:hAnsi="宋体" w:cs="宋体"/>
                <w:b/>
                <w:kern w:val="0"/>
                <w:szCs w:val="21"/>
              </w:rPr>
              <w:t>推广种植绿肥（亩）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蓬莱镇</w:t>
            </w:r>
          </w:p>
        </w:tc>
        <w:tc>
          <w:tcPr>
            <w:tcW w:w="1490" w:type="dxa"/>
            <w:vAlign w:val="center"/>
          </w:tcPr>
          <w:p>
            <w:pPr>
              <w:jc w:val="center"/>
              <w:rPr>
                <w:rFonts w:ascii="宋体" w:cs="宋体"/>
                <w:color w:val="000000"/>
                <w:sz w:val="22"/>
              </w:rPr>
            </w:pPr>
            <w:r>
              <w:rPr>
                <w:color w:val="000000"/>
                <w:sz w:val="22"/>
              </w:rPr>
              <w:t>1.8</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3.6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湖头镇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5.6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3</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官桥镇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4.2 </w:t>
            </w:r>
          </w:p>
        </w:tc>
        <w:tc>
          <w:tcPr>
            <w:tcW w:w="1829" w:type="dxa"/>
            <w:vAlign w:val="center"/>
          </w:tcPr>
          <w:p>
            <w:pPr>
              <w:jc w:val="center"/>
              <w:rPr>
                <w:rFonts w:ascii="宋体" w:cs="宋体"/>
                <w:color w:val="000000"/>
                <w:sz w:val="22"/>
              </w:rPr>
            </w:pPr>
            <w:r>
              <w:rPr>
                <w:color w:val="00000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4</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剑斗镇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4.4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5</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城厢镇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4.5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6</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金谷镇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4.4 </w:t>
            </w:r>
          </w:p>
        </w:tc>
        <w:tc>
          <w:tcPr>
            <w:tcW w:w="1829" w:type="dxa"/>
            <w:vAlign w:val="center"/>
          </w:tcPr>
          <w:p>
            <w:pPr>
              <w:jc w:val="center"/>
              <w:rPr>
                <w:rFonts w:ascii="宋体" w:cs="宋体"/>
                <w:color w:val="000000"/>
                <w:sz w:val="22"/>
              </w:rPr>
            </w:pPr>
            <w:r>
              <w:rPr>
                <w:color w:val="00000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7</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龙门镇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4.4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8</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虎邱镇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5.4 </w:t>
            </w:r>
          </w:p>
        </w:tc>
        <w:tc>
          <w:tcPr>
            <w:tcW w:w="1829" w:type="dxa"/>
            <w:vAlign w:val="center"/>
          </w:tcPr>
          <w:p>
            <w:pPr>
              <w:jc w:val="center"/>
              <w:rPr>
                <w:rFonts w:ascii="宋体" w:cs="宋体"/>
                <w:color w:val="000000"/>
                <w:sz w:val="22"/>
              </w:rPr>
            </w:pPr>
            <w:r>
              <w:rPr>
                <w:rFonts w:hint="eastAsia"/>
                <w:color w:val="000000"/>
                <w:sz w:val="22"/>
              </w:rPr>
              <w:t>3</w:t>
            </w:r>
            <w:r>
              <w:rPr>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9</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芦田镇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4.9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10</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感德镇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6.</w:t>
            </w:r>
            <w:r>
              <w:rPr>
                <w:rFonts w:hint="eastAsia"/>
                <w:color w:val="000000"/>
                <w:sz w:val="22"/>
              </w:rPr>
              <w:t>0</w:t>
            </w:r>
          </w:p>
        </w:tc>
        <w:tc>
          <w:tcPr>
            <w:tcW w:w="1829" w:type="dxa"/>
            <w:vAlign w:val="center"/>
          </w:tcPr>
          <w:p>
            <w:pPr>
              <w:jc w:val="center"/>
              <w:rPr>
                <w:rFonts w:ascii="宋体" w:cs="宋体"/>
                <w:color w:val="000000"/>
                <w:sz w:val="22"/>
              </w:rPr>
            </w:pPr>
            <w:r>
              <w:rPr>
                <w:rFonts w:hint="eastAsia"/>
                <w:color w:val="000000"/>
                <w:sz w:val="22"/>
              </w:rPr>
              <w:t>3</w:t>
            </w:r>
            <w:r>
              <w:rPr>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11</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参内镇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2.8 </w:t>
            </w:r>
          </w:p>
        </w:tc>
        <w:tc>
          <w:tcPr>
            <w:tcW w:w="1829" w:type="dxa"/>
            <w:vAlign w:val="center"/>
          </w:tcPr>
          <w:p>
            <w:pPr>
              <w:jc w:val="center"/>
              <w:rPr>
                <w:rFonts w:ascii="宋体" w:cs="宋体"/>
                <w:color w:val="000000"/>
                <w:sz w:val="22"/>
              </w:rPr>
            </w:pPr>
            <w:r>
              <w:rPr>
                <w:color w:val="00000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12</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魁斗镇</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2.8 </w:t>
            </w:r>
          </w:p>
        </w:tc>
        <w:tc>
          <w:tcPr>
            <w:tcW w:w="1829" w:type="dxa"/>
            <w:vAlign w:val="center"/>
          </w:tcPr>
          <w:p>
            <w:pPr>
              <w:jc w:val="center"/>
              <w:rPr>
                <w:rFonts w:ascii="宋体" w:cs="宋体"/>
                <w:color w:val="000000"/>
                <w:sz w:val="22"/>
              </w:rPr>
            </w:pPr>
            <w:r>
              <w:rPr>
                <w:color w:val="00000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13</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白濑乡</w:t>
            </w:r>
          </w:p>
        </w:tc>
        <w:tc>
          <w:tcPr>
            <w:tcW w:w="1490" w:type="dxa"/>
            <w:vAlign w:val="center"/>
          </w:tcPr>
          <w:p>
            <w:pPr>
              <w:jc w:val="center"/>
              <w:rPr>
                <w:rFonts w:ascii="宋体" w:cs="宋体"/>
                <w:color w:val="000000"/>
                <w:sz w:val="22"/>
              </w:rPr>
            </w:pPr>
            <w:r>
              <w:rPr>
                <w:color w:val="000000"/>
                <w:sz w:val="22"/>
              </w:rPr>
              <w:t>1.0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3.5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14</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湖上乡</w:t>
            </w:r>
          </w:p>
        </w:tc>
        <w:tc>
          <w:tcPr>
            <w:tcW w:w="1490" w:type="dxa"/>
            <w:vAlign w:val="center"/>
          </w:tcPr>
          <w:p>
            <w:pPr>
              <w:jc w:val="center"/>
              <w:rPr>
                <w:rFonts w:ascii="宋体" w:cs="宋体"/>
                <w:color w:val="000000"/>
                <w:sz w:val="22"/>
              </w:rPr>
            </w:pPr>
            <w:r>
              <w:rPr>
                <w:color w:val="000000"/>
                <w:sz w:val="22"/>
              </w:rPr>
              <w:t>1.0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4.4 </w:t>
            </w:r>
          </w:p>
        </w:tc>
        <w:tc>
          <w:tcPr>
            <w:tcW w:w="1829" w:type="dxa"/>
            <w:vAlign w:val="center"/>
          </w:tcPr>
          <w:p>
            <w:pPr>
              <w:jc w:val="center"/>
              <w:rPr>
                <w:rFonts w:ascii="宋体" w:cs="宋体"/>
                <w:color w:val="000000"/>
                <w:sz w:val="22"/>
              </w:rPr>
            </w:pPr>
            <w:r>
              <w:rPr>
                <w:color w:val="000000"/>
                <w:sz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15</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尚卿乡</w:t>
            </w:r>
          </w:p>
        </w:tc>
        <w:tc>
          <w:tcPr>
            <w:tcW w:w="1490" w:type="dxa"/>
            <w:vAlign w:val="center"/>
          </w:tcPr>
          <w:p>
            <w:pPr>
              <w:jc w:val="center"/>
              <w:rPr>
                <w:rFonts w:ascii="宋体" w:cs="宋体"/>
                <w:color w:val="000000"/>
                <w:sz w:val="22"/>
              </w:rPr>
            </w:pPr>
            <w:r>
              <w:rPr>
                <w:color w:val="000000"/>
                <w:sz w:val="22"/>
              </w:rPr>
              <w:t>0.7</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5.</w:t>
            </w:r>
            <w:r>
              <w:rPr>
                <w:rFonts w:hint="eastAsia"/>
                <w:color w:val="000000"/>
                <w:sz w:val="22"/>
              </w:rPr>
              <w:t>0</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16</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大坪乡</w:t>
            </w:r>
          </w:p>
        </w:tc>
        <w:tc>
          <w:tcPr>
            <w:tcW w:w="1490" w:type="dxa"/>
            <w:vAlign w:val="center"/>
          </w:tcPr>
          <w:p>
            <w:pPr>
              <w:jc w:val="center"/>
              <w:rPr>
                <w:rFonts w:ascii="宋体" w:cs="宋体"/>
                <w:color w:val="000000"/>
                <w:sz w:val="22"/>
              </w:rPr>
            </w:pPr>
            <w:r>
              <w:rPr>
                <w:color w:val="000000"/>
                <w:sz w:val="22"/>
              </w:rPr>
              <w:t>1.8</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4.9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17</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西坪镇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6.4 </w:t>
            </w:r>
          </w:p>
        </w:tc>
        <w:tc>
          <w:tcPr>
            <w:tcW w:w="1829" w:type="dxa"/>
            <w:vAlign w:val="center"/>
          </w:tcPr>
          <w:p>
            <w:pPr>
              <w:jc w:val="center"/>
              <w:rPr>
                <w:rFonts w:ascii="宋体" w:cs="宋体"/>
                <w:color w:val="000000"/>
                <w:sz w:val="22"/>
              </w:rPr>
            </w:pPr>
            <w:r>
              <w:rPr>
                <w:rFonts w:hint="eastAsia"/>
                <w:color w:val="000000"/>
                <w:sz w:val="22"/>
              </w:rPr>
              <w:t>3</w:t>
            </w:r>
            <w:r>
              <w:rPr>
                <w:color w:val="00000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18</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龙涓乡</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6.0 </w:t>
            </w:r>
          </w:p>
        </w:tc>
        <w:tc>
          <w:tcPr>
            <w:tcW w:w="1829" w:type="dxa"/>
            <w:vAlign w:val="center"/>
          </w:tcPr>
          <w:p>
            <w:pPr>
              <w:jc w:val="center"/>
              <w:rPr>
                <w:rFonts w:ascii="宋体" w:cs="宋体"/>
                <w:color w:val="000000"/>
                <w:sz w:val="22"/>
              </w:rPr>
            </w:pPr>
            <w:r>
              <w:rPr>
                <w:color w:val="000000"/>
                <w:sz w:val="22"/>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19</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长卿镇</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6.0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20</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蓝田乡</w:t>
            </w:r>
          </w:p>
        </w:tc>
        <w:tc>
          <w:tcPr>
            <w:tcW w:w="1490" w:type="dxa"/>
            <w:vAlign w:val="center"/>
          </w:tcPr>
          <w:p>
            <w:pPr>
              <w:jc w:val="center"/>
              <w:rPr>
                <w:rFonts w:ascii="宋体" w:cs="宋体"/>
                <w:color w:val="000000"/>
                <w:sz w:val="22"/>
              </w:rPr>
            </w:pPr>
            <w:r>
              <w:rPr>
                <w:color w:val="000000"/>
                <w:sz w:val="22"/>
              </w:rPr>
              <w:t>1.5</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4.4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21</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祥华乡</w:t>
            </w:r>
          </w:p>
        </w:tc>
        <w:tc>
          <w:tcPr>
            <w:tcW w:w="1490" w:type="dxa"/>
            <w:vAlign w:val="center"/>
          </w:tcPr>
          <w:p>
            <w:pPr>
              <w:jc w:val="center"/>
              <w:rPr>
                <w:rFonts w:ascii="宋体" w:cs="宋体"/>
                <w:color w:val="000000"/>
                <w:sz w:val="22"/>
              </w:rPr>
            </w:pPr>
            <w:r>
              <w:rPr>
                <w:color w:val="000000"/>
                <w:sz w:val="22"/>
              </w:rPr>
              <w:t>2.0</w:t>
            </w:r>
          </w:p>
        </w:tc>
        <w:tc>
          <w:tcPr>
            <w:tcW w:w="1824" w:type="dxa"/>
            <w:vAlign w:val="center"/>
          </w:tcPr>
          <w:p>
            <w:pPr>
              <w:jc w:val="center"/>
              <w:rPr>
                <w:rFonts w:ascii="宋体" w:cs="宋体"/>
                <w:color w:val="000000"/>
                <w:sz w:val="22"/>
              </w:rPr>
            </w:pPr>
            <w:r>
              <w:rPr>
                <w:color w:val="000000"/>
                <w:sz w:val="22"/>
              </w:rPr>
              <w:t>4000</w:t>
            </w:r>
          </w:p>
        </w:tc>
        <w:tc>
          <w:tcPr>
            <w:tcW w:w="2251" w:type="dxa"/>
            <w:vAlign w:val="center"/>
          </w:tcPr>
          <w:p>
            <w:pPr>
              <w:jc w:val="center"/>
              <w:rPr>
                <w:rFonts w:cs="宋体"/>
                <w:color w:val="000000"/>
                <w:sz w:val="22"/>
              </w:rPr>
            </w:pPr>
            <w:r>
              <w:rPr>
                <w:color w:val="000000"/>
                <w:sz w:val="22"/>
              </w:rPr>
              <w:t xml:space="preserve">7.4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22</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桃舟乡</w:t>
            </w:r>
          </w:p>
        </w:tc>
        <w:tc>
          <w:tcPr>
            <w:tcW w:w="1490" w:type="dxa"/>
            <w:vAlign w:val="center"/>
          </w:tcPr>
          <w:p>
            <w:pPr>
              <w:jc w:val="center"/>
              <w:rPr>
                <w:rFonts w:ascii="宋体" w:cs="宋体"/>
                <w:color w:val="000000"/>
                <w:sz w:val="22"/>
              </w:rPr>
            </w:pPr>
            <w:r>
              <w:rPr>
                <w:color w:val="000000"/>
                <w:sz w:val="22"/>
              </w:rPr>
              <w:t>1.0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3.5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701" w:type="dxa"/>
            <w:vAlign w:val="center"/>
          </w:tcPr>
          <w:p>
            <w:pPr>
              <w:widowControl/>
              <w:spacing w:line="320" w:lineRule="exact"/>
              <w:jc w:val="center"/>
              <w:rPr>
                <w:rFonts w:ascii="宋体" w:cs="宋体"/>
                <w:color w:val="000000"/>
                <w:kern w:val="0"/>
                <w:szCs w:val="21"/>
              </w:rPr>
            </w:pPr>
            <w:r>
              <w:rPr>
                <w:rFonts w:ascii="宋体" w:hAnsi="宋体" w:cs="宋体"/>
                <w:color w:val="000000"/>
                <w:kern w:val="0"/>
                <w:szCs w:val="21"/>
              </w:rPr>
              <w:t>23</w:t>
            </w:r>
          </w:p>
        </w:tc>
        <w:tc>
          <w:tcPr>
            <w:tcW w:w="1079" w:type="dxa"/>
            <w:vAlign w:val="center"/>
          </w:tcPr>
          <w:p>
            <w:pPr>
              <w:widowControl/>
              <w:spacing w:line="320" w:lineRule="exact"/>
              <w:jc w:val="center"/>
              <w:rPr>
                <w:rFonts w:ascii="宋体" w:cs="宋体"/>
                <w:color w:val="000000"/>
                <w:kern w:val="0"/>
                <w:szCs w:val="21"/>
              </w:rPr>
            </w:pPr>
            <w:r>
              <w:rPr>
                <w:rFonts w:hint="eastAsia" w:ascii="宋体" w:hAnsi="宋体" w:cs="宋体"/>
                <w:color w:val="000000"/>
                <w:kern w:val="0"/>
                <w:szCs w:val="21"/>
              </w:rPr>
              <w:t>福田乡</w:t>
            </w:r>
          </w:p>
        </w:tc>
        <w:tc>
          <w:tcPr>
            <w:tcW w:w="1490" w:type="dxa"/>
            <w:vAlign w:val="center"/>
          </w:tcPr>
          <w:p>
            <w:pPr>
              <w:jc w:val="center"/>
              <w:rPr>
                <w:rFonts w:ascii="宋体" w:cs="宋体"/>
                <w:color w:val="000000"/>
                <w:sz w:val="22"/>
              </w:rPr>
            </w:pPr>
            <w:r>
              <w:rPr>
                <w:color w:val="000000"/>
                <w:sz w:val="22"/>
              </w:rPr>
              <w:t>1.0</w:t>
            </w:r>
          </w:p>
        </w:tc>
        <w:tc>
          <w:tcPr>
            <w:tcW w:w="1824" w:type="dxa"/>
            <w:vAlign w:val="center"/>
          </w:tcPr>
          <w:p>
            <w:pPr>
              <w:jc w:val="center"/>
              <w:rPr>
                <w:rFonts w:ascii="宋体" w:cs="宋体"/>
                <w:color w:val="000000"/>
                <w:sz w:val="22"/>
              </w:rPr>
            </w:pPr>
            <w:r>
              <w:rPr>
                <w:color w:val="000000"/>
                <w:sz w:val="22"/>
              </w:rPr>
              <w:t>3200</w:t>
            </w:r>
          </w:p>
        </w:tc>
        <w:tc>
          <w:tcPr>
            <w:tcW w:w="2251" w:type="dxa"/>
            <w:vAlign w:val="center"/>
          </w:tcPr>
          <w:p>
            <w:pPr>
              <w:jc w:val="center"/>
              <w:rPr>
                <w:rFonts w:cs="宋体"/>
                <w:color w:val="000000"/>
                <w:sz w:val="22"/>
              </w:rPr>
            </w:pPr>
            <w:r>
              <w:rPr>
                <w:color w:val="000000"/>
                <w:sz w:val="22"/>
              </w:rPr>
              <w:t xml:space="preserve">3.5 </w:t>
            </w:r>
          </w:p>
        </w:tc>
        <w:tc>
          <w:tcPr>
            <w:tcW w:w="1829" w:type="dxa"/>
            <w:vAlign w:val="center"/>
          </w:tcPr>
          <w:p>
            <w:pPr>
              <w:jc w:val="center"/>
              <w:rPr>
                <w:rFonts w:ascii="宋体" w:cs="宋体"/>
                <w:color w:val="000000"/>
                <w:sz w:val="22"/>
              </w:rPr>
            </w:pPr>
            <w:r>
              <w:rPr>
                <w:color w:val="00000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1780" w:type="dxa"/>
            <w:gridSpan w:val="2"/>
            <w:vAlign w:val="center"/>
          </w:tcPr>
          <w:p>
            <w:pPr>
              <w:widowControl/>
              <w:spacing w:line="320" w:lineRule="exact"/>
              <w:jc w:val="center"/>
              <w:rPr>
                <w:rFonts w:ascii="宋体" w:cs="宋体"/>
                <w:kern w:val="0"/>
                <w:szCs w:val="21"/>
              </w:rPr>
            </w:pPr>
            <w:r>
              <w:rPr>
                <w:rFonts w:hint="eastAsia" w:ascii="宋体" w:hAnsi="宋体" w:cs="宋体"/>
                <w:kern w:val="0"/>
                <w:szCs w:val="21"/>
              </w:rPr>
              <w:t>合计</w:t>
            </w:r>
          </w:p>
        </w:tc>
        <w:tc>
          <w:tcPr>
            <w:tcW w:w="1490" w:type="dxa"/>
            <w:vAlign w:val="center"/>
          </w:tcPr>
          <w:p>
            <w:pPr>
              <w:jc w:val="center"/>
              <w:rPr>
                <w:rFonts w:ascii="宋体" w:cs="宋体"/>
                <w:color w:val="000000"/>
                <w:sz w:val="22"/>
              </w:rPr>
            </w:pPr>
            <w:r>
              <w:rPr>
                <w:color w:val="000000"/>
                <w:sz w:val="22"/>
              </w:rPr>
              <w:t>32</w:t>
            </w:r>
          </w:p>
        </w:tc>
        <w:tc>
          <w:tcPr>
            <w:tcW w:w="1824" w:type="dxa"/>
            <w:vAlign w:val="center"/>
          </w:tcPr>
          <w:p>
            <w:pPr>
              <w:jc w:val="center"/>
              <w:rPr>
                <w:rFonts w:ascii="宋体" w:cs="宋体"/>
                <w:color w:val="000000"/>
                <w:sz w:val="22"/>
              </w:rPr>
            </w:pPr>
            <w:r>
              <w:rPr>
                <w:color w:val="000000"/>
                <w:sz w:val="22"/>
              </w:rPr>
              <w:t>80000</w:t>
            </w:r>
          </w:p>
        </w:tc>
        <w:tc>
          <w:tcPr>
            <w:tcW w:w="2251" w:type="dxa"/>
            <w:vAlign w:val="center"/>
          </w:tcPr>
          <w:p>
            <w:pPr>
              <w:jc w:val="center"/>
              <w:rPr>
                <w:color w:val="000000"/>
                <w:sz w:val="22"/>
              </w:rPr>
            </w:pPr>
            <w:r>
              <w:rPr>
                <w:rFonts w:hint="eastAsia"/>
                <w:color w:val="000000"/>
                <w:sz w:val="22"/>
              </w:rPr>
              <w:t>108</w:t>
            </w:r>
          </w:p>
        </w:tc>
        <w:tc>
          <w:tcPr>
            <w:tcW w:w="1829" w:type="dxa"/>
            <w:vAlign w:val="center"/>
          </w:tcPr>
          <w:p>
            <w:pPr>
              <w:jc w:val="center"/>
              <w:rPr>
                <w:color w:val="000000"/>
                <w:sz w:val="22"/>
              </w:rPr>
            </w:pPr>
            <w:r>
              <w:rPr>
                <w:color w:val="000000"/>
                <w:sz w:val="22"/>
              </w:rPr>
              <w:t>6</w:t>
            </w:r>
            <w:r>
              <w:rPr>
                <w:rFonts w:hint="eastAsia"/>
                <w:color w:val="000000"/>
                <w:sz w:val="22"/>
              </w:rPr>
              <w:t>5</w:t>
            </w:r>
            <w:r>
              <w:rPr>
                <w:color w:val="000000"/>
                <w:sz w:val="22"/>
              </w:rPr>
              <w:t>000</w:t>
            </w:r>
          </w:p>
        </w:tc>
      </w:tr>
    </w:tbl>
    <w:p>
      <w:pPr>
        <w:spacing w:beforeLines="50" w:afterLines="50" w:line="400" w:lineRule="exact"/>
        <w:rPr>
          <w:rFonts w:ascii="黑体" w:eastAsia="黑体"/>
          <w:sz w:val="32"/>
          <w:szCs w:val="30"/>
        </w:rPr>
        <w:sectPr>
          <w:footerReference r:id="rId3" w:type="default"/>
          <w:footerReference r:id="rId4" w:type="even"/>
          <w:pgSz w:w="11906" w:h="16838"/>
          <w:pgMar w:top="1701" w:right="1474" w:bottom="1588" w:left="1474" w:header="851" w:footer="992" w:gutter="0"/>
          <w:pgNumType w:fmt="numberInDash"/>
          <w:cols w:space="425" w:num="1"/>
          <w:titlePg/>
          <w:docGrid w:linePitch="312" w:charSpace="0"/>
        </w:sect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rPr>
          <w:rFonts w:ascii="仿宋_GB2312" w:hAnsi="Times New Roman" w:eastAsia="仿宋_GB2312" w:cs="仿宋_GB2312"/>
          <w:color w:val="auto"/>
          <w:kern w:val="2"/>
          <w:sz w:val="32"/>
          <w:szCs w:val="32"/>
        </w:rPr>
      </w:pPr>
    </w:p>
    <w:p>
      <w:pPr>
        <w:pStyle w:val="10"/>
        <w:ind w:firstLine="640" w:firstLineChars="200"/>
        <w:rPr>
          <w:rFonts w:ascii="仿宋_GB2312" w:hAnsi="Times New Roman" w:eastAsia="仿宋_GB2312" w:cs="仿宋_GB2312"/>
          <w:color w:val="auto"/>
          <w:kern w:val="2"/>
          <w:sz w:val="32"/>
          <w:szCs w:val="32"/>
        </w:rPr>
      </w:pPr>
    </w:p>
    <w:p>
      <w:pPr>
        <w:spacing w:line="580" w:lineRule="exact"/>
        <w:rPr>
          <w:rFonts w:ascii="仿宋_GB2312" w:hAnsi="宋体" w:eastAsia="仿宋_GB2312"/>
          <w:b/>
          <w:color w:val="000000"/>
          <w:sz w:val="32"/>
          <w:szCs w:val="32"/>
        </w:rPr>
      </w:pPr>
    </w:p>
    <w:p>
      <w:pPr>
        <w:spacing w:line="580" w:lineRule="exact"/>
        <w:rPr>
          <w:rFonts w:ascii="仿宋_GB2312" w:hAnsi="宋体" w:eastAsia="仿宋_GB2312"/>
          <w:color w:val="000000"/>
          <w:sz w:val="28"/>
          <w:szCs w:val="28"/>
        </w:rPr>
      </w:pPr>
      <w:r>
        <w:pict>
          <v:line id="直线 4" o:spid="_x0000_s1026" o:spt="20" style="position:absolute;left:0pt;margin-left:0pt;margin-top:2.35pt;height:0pt;width:442.5pt;z-index:1024;mso-width-relative:page;mso-height-relative:page;" coordsize="21600,21600" o:gfxdata="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56zDQAAAABAEAAA8A&#10;AAAAAAAAAQAgAAAAIgAAAGRycy9kb3ducmV2LnhtbFBLAQIUABQAAAAIAIdO4kCq7Klq5gEAANsD&#10;AAAOAAAAAAAAAAEAIAAAAB8BAABkcnMvZTJvRG9jLnhtbFBLBQYAAAAABgAGAFkBAAB3BQAAAAA=&#10;">
            <v:path arrowok="t"/>
            <v:fill focussize="0,0"/>
            <v:stroke weight="0.5pt"/>
            <v:imagedata o:title=""/>
            <o:lock v:ext="edit"/>
          </v:line>
        </w:pict>
      </w:r>
      <w:r>
        <w:rPr>
          <w:rFonts w:ascii="仿宋_GB2312" w:hAnsi="宋体" w:eastAsia="仿宋_GB2312"/>
          <w:b/>
          <w:color w:val="000000"/>
          <w:sz w:val="32"/>
          <w:szCs w:val="32"/>
        </w:rPr>
        <w:t xml:space="preserve">  </w:t>
      </w:r>
      <w:r>
        <w:rPr>
          <w:rFonts w:hint="eastAsia" w:ascii="仿宋_GB2312" w:hAnsi="宋体" w:eastAsia="仿宋_GB2312"/>
          <w:color w:val="000000"/>
          <w:sz w:val="28"/>
          <w:szCs w:val="28"/>
        </w:rPr>
        <w:t>抄送：省土肥总站，市土肥站，存档。</w:t>
      </w:r>
    </w:p>
    <w:p>
      <w:pPr>
        <w:spacing w:line="580" w:lineRule="exact"/>
        <w:ind w:firstLine="205" w:firstLineChars="98"/>
        <w:rPr>
          <w:rFonts w:ascii="仿宋_GB2312" w:hAnsi="宋体" w:eastAsia="仿宋_GB2312"/>
          <w:b/>
          <w:color w:val="000000"/>
          <w:sz w:val="32"/>
          <w:szCs w:val="32"/>
        </w:rPr>
      </w:pPr>
      <w:r>
        <w:pict>
          <v:line id="_x0000_s1027" o:spid="_x0000_s1027" o:spt="20" style="position:absolute;left:0pt;margin-left:0pt;margin-top:1.6pt;height:0pt;width:442.5pt;z-index:1024;mso-width-relative:page;mso-height-relative:page;" coordsize="21600,21600" o:gfxdata="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k1kfTQAAAABAEAAA8A&#10;AAAAAAAAAQAgAAAAIgAAAGRycy9kb3ducmV2LnhtbFBLAQIUABQAAAAIAIdO4kCnskhD5gEAANsD&#10;AAAOAAAAAAAAAAEAIAAAAB8BAABkcnMvZTJvRG9jLnhtbFBLBQYAAAAABgAGAFkBAAB3BQAAAAA=&#10;">
            <v:path arrowok="t"/>
            <v:fill focussize="0,0"/>
            <v:stroke weight="0.5pt"/>
            <v:imagedata o:title=""/>
            <o:lock v:ext="edit"/>
          </v:line>
        </w:pict>
      </w:r>
      <w:r>
        <w:pict>
          <v:line id="直线 2" o:spid="_x0000_s1028" o:spt="20" style="position:absolute;left:0pt;margin-left:0pt;margin-top:29.2pt;height:0pt;width:442.5pt;z-index:1024;mso-width-relative:page;mso-height-relative:page;" coordsize="21600,21600" o:gfxdata="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NcFX0gAAAAYBAAAP&#10;AAAAAAAAAAEAIAAAACIAAABkcnMvZG93bnJldi54bWxQSwECFAAUAAAACACHTuJAQFuh0OUBAADb&#10;AwAADgAAAAAAAAABACAAAAAhAQAAZHJzL2Uyb0RvYy54bWxQSwUGAAAAAAYABgBZAQAAeAUAAAAA&#10;">
            <v:path arrowok="t"/>
            <v:fill focussize="0,0"/>
            <v:stroke weight="0.5pt"/>
            <v:imagedata o:title=""/>
            <o:lock v:ext="edit"/>
          </v:line>
        </w:pict>
      </w:r>
      <w:r>
        <w:rPr>
          <w:rFonts w:hint="eastAsia" w:ascii="仿宋_GB2312" w:hAnsi="宋体" w:eastAsia="仿宋_GB2312"/>
          <w:color w:val="000000"/>
          <w:sz w:val="28"/>
          <w:szCs w:val="28"/>
        </w:rPr>
        <w:t>安溪县农业农村局办公室</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bookmarkStart w:id="0" w:name="_GoBack"/>
      <w:bookmarkEnd w:id="0"/>
      <w:r>
        <w:rPr>
          <w:rFonts w:ascii="仿宋_GB2312" w:hAnsi="宋体" w:eastAsia="仿宋_GB2312"/>
          <w:color w:val="000000"/>
          <w:sz w:val="28"/>
          <w:szCs w:val="28"/>
        </w:rPr>
        <w:t xml:space="preserve">         202</w:t>
      </w:r>
      <w:r>
        <w:rPr>
          <w:rFonts w:hint="eastAsia" w:ascii="仿宋_GB2312" w:hAnsi="宋体" w:eastAsia="仿宋_GB2312"/>
          <w:color w:val="000000"/>
          <w:sz w:val="28"/>
          <w:szCs w:val="28"/>
        </w:rPr>
        <w:t>4年</w:t>
      </w: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日印发</w:t>
      </w:r>
    </w:p>
    <w:p>
      <w:pPr>
        <w:pStyle w:val="10"/>
        <w:rPr>
          <w:rFonts w:ascii="仿宋_GB2312" w:hAnsi="Times New Roman" w:eastAsia="仿宋_GB2312" w:cs="仿宋_GB2312"/>
          <w:color w:val="auto"/>
          <w:kern w:val="2"/>
          <w:sz w:val="32"/>
          <w:szCs w:val="32"/>
        </w:rPr>
      </w:pPr>
    </w:p>
    <w:sectPr>
      <w:pgSz w:w="11906" w:h="16838"/>
      <w:pgMar w:top="1701"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- 7 -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75D"/>
    <w:rsid w:val="0003475D"/>
    <w:rsid w:val="00034982"/>
    <w:rsid w:val="000357D9"/>
    <w:rsid w:val="000708DA"/>
    <w:rsid w:val="0008079F"/>
    <w:rsid w:val="000E2F65"/>
    <w:rsid w:val="001026A1"/>
    <w:rsid w:val="00112E2E"/>
    <w:rsid w:val="00123A07"/>
    <w:rsid w:val="00183622"/>
    <w:rsid w:val="002160BC"/>
    <w:rsid w:val="00275B36"/>
    <w:rsid w:val="00295D11"/>
    <w:rsid w:val="002E2AFC"/>
    <w:rsid w:val="002E7123"/>
    <w:rsid w:val="003E2B47"/>
    <w:rsid w:val="004A1720"/>
    <w:rsid w:val="004F00DF"/>
    <w:rsid w:val="005231B9"/>
    <w:rsid w:val="00555C23"/>
    <w:rsid w:val="005675A8"/>
    <w:rsid w:val="005C3723"/>
    <w:rsid w:val="00653596"/>
    <w:rsid w:val="0068088A"/>
    <w:rsid w:val="006C46A2"/>
    <w:rsid w:val="007342BD"/>
    <w:rsid w:val="0077376B"/>
    <w:rsid w:val="00781152"/>
    <w:rsid w:val="00801A47"/>
    <w:rsid w:val="00810E40"/>
    <w:rsid w:val="0084435D"/>
    <w:rsid w:val="008A498A"/>
    <w:rsid w:val="009736E0"/>
    <w:rsid w:val="00974F62"/>
    <w:rsid w:val="009D1F87"/>
    <w:rsid w:val="009F3824"/>
    <w:rsid w:val="00A103CB"/>
    <w:rsid w:val="00A20813"/>
    <w:rsid w:val="00A64580"/>
    <w:rsid w:val="00AA6608"/>
    <w:rsid w:val="00AB7857"/>
    <w:rsid w:val="00AC3C09"/>
    <w:rsid w:val="00B55B75"/>
    <w:rsid w:val="00BD0F29"/>
    <w:rsid w:val="00C83FED"/>
    <w:rsid w:val="00CC5198"/>
    <w:rsid w:val="00CC6BE7"/>
    <w:rsid w:val="00CF4CD7"/>
    <w:rsid w:val="00CF5364"/>
    <w:rsid w:val="00D0005F"/>
    <w:rsid w:val="00D0766C"/>
    <w:rsid w:val="00D473C6"/>
    <w:rsid w:val="00DC3B23"/>
    <w:rsid w:val="00DF45A2"/>
    <w:rsid w:val="00E62B42"/>
    <w:rsid w:val="00E66C0C"/>
    <w:rsid w:val="00EC70B0"/>
    <w:rsid w:val="00ED0231"/>
    <w:rsid w:val="00EF690D"/>
    <w:rsid w:val="00F53F57"/>
    <w:rsid w:val="00FB58CC"/>
    <w:rsid w:val="00FD2F2E"/>
    <w:rsid w:val="056C38DB"/>
    <w:rsid w:val="410F7CA4"/>
    <w:rsid w:val="4DEA6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inherit" w:hAnsi="inherit"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9"/>
    <w:semiHidden/>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customStyle="1" w:styleId="9">
    <w:name w:val="HTML 预设格式 Char"/>
    <w:basedOn w:val="6"/>
    <w:link w:val="5"/>
    <w:semiHidden/>
    <w:locked/>
    <w:uiPriority w:val="99"/>
    <w:rPr>
      <w:rFonts w:ascii="宋体" w:eastAsia="宋体" w:cs="Times New Roman"/>
      <w:color w:val="auto"/>
      <w:sz w:val="24"/>
      <w:szCs w:val="24"/>
    </w:rPr>
  </w:style>
  <w:style w:type="paragraph" w:styleId="10">
    <w:name w:val="No Spacing"/>
    <w:qFormat/>
    <w:uiPriority w:val="99"/>
    <w:pPr>
      <w:widowControl w:val="0"/>
      <w:jc w:val="both"/>
    </w:pPr>
    <w:rPr>
      <w:rFonts w:ascii="inherit" w:hAnsi="inherit" w:eastAsia="宋体" w:cs="宋体"/>
      <w:color w:val="000000"/>
      <w:sz w:val="17"/>
      <w:szCs w:val="17"/>
      <w:lang w:val="en-US" w:eastAsia="zh-CN" w:bidi="ar-SA"/>
    </w:rPr>
  </w:style>
  <w:style w:type="character" w:customStyle="1" w:styleId="11">
    <w:name w:val="页脚 Char"/>
    <w:basedOn w:val="6"/>
    <w:link w:val="3"/>
    <w:semiHidden/>
    <w:qFormat/>
    <w:locked/>
    <w:uiPriority w:val="99"/>
    <w:rPr>
      <w:rFonts w:ascii="Calibri" w:hAnsi="Calibri" w:cs="Times New Roman"/>
      <w:sz w:val="18"/>
      <w:szCs w:val="18"/>
    </w:rPr>
  </w:style>
  <w:style w:type="character" w:customStyle="1" w:styleId="12">
    <w:name w:val="页眉 Char"/>
    <w:basedOn w:val="6"/>
    <w:link w:val="4"/>
    <w:semiHidden/>
    <w:locked/>
    <w:uiPriority w:val="99"/>
    <w:rPr>
      <w:rFonts w:ascii="Calibri" w:hAnsi="Calibri" w:cs="Times New Roman"/>
      <w:sz w:val="18"/>
      <w:szCs w:val="18"/>
    </w:rPr>
  </w:style>
  <w:style w:type="character" w:customStyle="1" w:styleId="13">
    <w:name w:val="日期 Char"/>
    <w:basedOn w:val="6"/>
    <w:link w:val="2"/>
    <w:semiHidden/>
    <w:locked/>
    <w:uiPriority w:val="99"/>
    <w:rPr>
      <w:rFonts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0</TotalTime>
  <ScaleCrop>false</ScaleCrop>
  <LinksUpToDate>false</LinksUpToDate>
  <CharactersWithSpaces>3108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2022-11-08T06:24:00Z</dcterms:created>
  <dc:creator>2012</dc:creator>
  <cp:lastModifiedBy>Administrator</cp:lastModifiedBy>
  <cp:lastPrinted>2024-06-26T02:12:00Z</cp:lastPrinted>
  <dcterms:modified xsi:type="dcterms:W3CDTF">2024-07-02T02:24:38Z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E20EA64868FC45BBA06B3A24687E9F52</vt:lpwstr>
  </property>
</Properties>
</file>