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CD70B">
      <w:pPr>
        <w:spacing w:line="600" w:lineRule="exact"/>
        <w:jc w:val="center"/>
        <w:rPr>
          <w:rFonts w:hint="eastAsia" w:ascii="仿宋_GB2312" w:eastAsia="仿宋_GB2312"/>
          <w:sz w:val="32"/>
          <w:szCs w:val="32"/>
        </w:rPr>
      </w:pPr>
      <w:bookmarkStart w:id="0" w:name="_GoBack"/>
      <w:bookmarkEnd w:id="0"/>
    </w:p>
    <w:p w14:paraId="41A3526B">
      <w:pPr>
        <w:spacing w:line="600" w:lineRule="exact"/>
        <w:jc w:val="center"/>
        <w:rPr>
          <w:rFonts w:hint="eastAsia" w:ascii="仿宋_GB2312" w:eastAsia="仿宋_GB2312"/>
          <w:sz w:val="32"/>
          <w:szCs w:val="32"/>
        </w:rPr>
      </w:pPr>
    </w:p>
    <w:p w14:paraId="6C6DDBF9">
      <w:pPr>
        <w:spacing w:line="600" w:lineRule="exact"/>
        <w:jc w:val="center"/>
        <w:rPr>
          <w:rFonts w:hint="eastAsia" w:ascii="仿宋_GB2312" w:eastAsia="仿宋_GB2312"/>
          <w:sz w:val="32"/>
          <w:szCs w:val="32"/>
        </w:rPr>
      </w:pPr>
    </w:p>
    <w:p w14:paraId="39EF78FF">
      <w:pPr>
        <w:spacing w:line="600" w:lineRule="exact"/>
        <w:jc w:val="center"/>
        <w:rPr>
          <w:rFonts w:hint="eastAsia" w:ascii="仿宋_GB2312" w:eastAsia="仿宋_GB2312"/>
          <w:sz w:val="32"/>
          <w:szCs w:val="32"/>
        </w:rPr>
      </w:pPr>
    </w:p>
    <w:p w14:paraId="44CEFEF5">
      <w:pPr>
        <w:spacing w:line="600" w:lineRule="exact"/>
        <w:jc w:val="center"/>
        <w:rPr>
          <w:rFonts w:hint="eastAsia" w:ascii="仿宋_GB2312" w:eastAsia="仿宋_GB2312"/>
          <w:sz w:val="32"/>
          <w:szCs w:val="32"/>
        </w:rPr>
      </w:pPr>
    </w:p>
    <w:p w14:paraId="6E289C68">
      <w:pPr>
        <w:spacing w:line="600" w:lineRule="exact"/>
        <w:jc w:val="center"/>
        <w:rPr>
          <w:rFonts w:hint="eastAsia" w:ascii="仿宋_GB2312" w:eastAsia="仿宋_GB2312"/>
          <w:sz w:val="32"/>
          <w:szCs w:val="32"/>
        </w:rPr>
      </w:pPr>
    </w:p>
    <w:p w14:paraId="74992362">
      <w:pPr>
        <w:spacing w:line="600" w:lineRule="exact"/>
        <w:jc w:val="center"/>
        <w:rPr>
          <w:rFonts w:hint="eastAsia" w:ascii="仿宋_GB2312" w:eastAsia="仿宋_GB2312"/>
          <w:sz w:val="32"/>
          <w:szCs w:val="32"/>
        </w:rPr>
      </w:pPr>
    </w:p>
    <w:p w14:paraId="3CD39E7F">
      <w:pPr>
        <w:spacing w:line="600" w:lineRule="exact"/>
        <w:jc w:val="center"/>
        <w:rPr>
          <w:rFonts w:hint="eastAsia" w:ascii="仿宋_GB2312" w:eastAsia="仿宋_GB2312"/>
          <w:sz w:val="32"/>
          <w:szCs w:val="32"/>
        </w:rPr>
      </w:pPr>
    </w:p>
    <w:p w14:paraId="1D73AD5F">
      <w:pPr>
        <w:spacing w:line="600" w:lineRule="exact"/>
        <w:ind w:firstLine="160" w:firstLineChars="50"/>
        <w:rPr>
          <w:rFonts w:hint="eastAsia" w:ascii="仿宋_GB2312" w:eastAsia="仿宋_GB2312"/>
          <w:sz w:val="32"/>
          <w:szCs w:val="32"/>
        </w:rPr>
      </w:pPr>
      <w:r>
        <w:rPr>
          <w:rFonts w:hint="eastAsia" w:ascii="仿宋_GB2312" w:eastAsia="仿宋_GB2312"/>
          <w:sz w:val="32"/>
          <w:szCs w:val="32"/>
        </w:rPr>
        <w:t xml:space="preserve">安民〔2025〕8号                      </w:t>
      </w:r>
      <w:r>
        <w:rPr>
          <w:rFonts w:hint="eastAsia" w:ascii="楷体_GB2312" w:eastAsia="楷体_GB2312"/>
          <w:sz w:val="32"/>
          <w:szCs w:val="32"/>
        </w:rPr>
        <w:t>签发人：李宝花</w:t>
      </w:r>
    </w:p>
    <w:p w14:paraId="7F74861A">
      <w:pPr>
        <w:spacing w:line="600" w:lineRule="exact"/>
        <w:rPr>
          <w:rFonts w:hint="eastAsia" w:ascii="仿宋_GB2312" w:eastAsia="仿宋_GB2312"/>
          <w:sz w:val="32"/>
          <w:szCs w:val="32"/>
        </w:rPr>
      </w:pPr>
    </w:p>
    <w:p w14:paraId="6D2D961F">
      <w:pPr>
        <w:pStyle w:val="2"/>
        <w:spacing w:before="0" w:beforeAutospacing="0" w:after="0" w:afterAutospacing="0" w:line="600" w:lineRule="exact"/>
        <w:jc w:val="center"/>
        <w:rPr>
          <w:rFonts w:hint="eastAsia"/>
          <w:bCs w:val="0"/>
          <w:sz w:val="44"/>
          <w:szCs w:val="44"/>
        </w:rPr>
      </w:pPr>
      <w:r>
        <w:rPr>
          <w:rFonts w:hint="eastAsia"/>
          <w:bCs w:val="0"/>
          <w:sz w:val="44"/>
          <w:szCs w:val="44"/>
        </w:rPr>
        <w:t>安溪</w:t>
      </w:r>
      <w:r>
        <w:rPr>
          <w:bCs w:val="0"/>
          <w:sz w:val="44"/>
          <w:szCs w:val="44"/>
        </w:rPr>
        <w:t>县民政局</w:t>
      </w:r>
      <w:r>
        <w:rPr>
          <w:rFonts w:hint="eastAsia"/>
          <w:bCs w:val="0"/>
          <w:sz w:val="44"/>
          <w:szCs w:val="44"/>
        </w:rPr>
        <w:t>关于</w:t>
      </w:r>
    </w:p>
    <w:p w14:paraId="75EA1E00">
      <w:pPr>
        <w:pStyle w:val="2"/>
        <w:spacing w:before="0" w:beforeAutospacing="0" w:after="0" w:afterAutospacing="0" w:line="600" w:lineRule="exact"/>
        <w:jc w:val="center"/>
        <w:rPr>
          <w:rFonts w:hint="eastAsia"/>
          <w:bCs w:val="0"/>
          <w:sz w:val="44"/>
          <w:szCs w:val="44"/>
        </w:rPr>
      </w:pPr>
      <w:r>
        <w:rPr>
          <w:bCs w:val="0"/>
          <w:sz w:val="44"/>
          <w:szCs w:val="44"/>
        </w:rPr>
        <w:t>20</w:t>
      </w:r>
      <w:r>
        <w:rPr>
          <w:rFonts w:hint="eastAsia"/>
          <w:bCs w:val="0"/>
          <w:sz w:val="44"/>
          <w:szCs w:val="44"/>
        </w:rPr>
        <w:t>24</w:t>
      </w:r>
      <w:r>
        <w:rPr>
          <w:bCs w:val="0"/>
          <w:sz w:val="44"/>
          <w:szCs w:val="44"/>
        </w:rPr>
        <w:t>年法治政府建设</w:t>
      </w:r>
      <w:r>
        <w:rPr>
          <w:rFonts w:hint="eastAsia"/>
          <w:bCs w:val="0"/>
          <w:sz w:val="44"/>
          <w:szCs w:val="44"/>
        </w:rPr>
        <w:t>情况的报告</w:t>
      </w:r>
    </w:p>
    <w:p w14:paraId="5CC01B98">
      <w:pPr>
        <w:pStyle w:val="7"/>
        <w:shd w:val="clear" w:color="auto" w:fill="FFFFFF"/>
        <w:spacing w:before="0" w:beforeAutospacing="0" w:after="0" w:afterAutospacing="0" w:line="580" w:lineRule="exact"/>
        <w:rPr>
          <w:rFonts w:hint="eastAsia"/>
          <w:kern w:val="36"/>
          <w:sz w:val="32"/>
          <w:szCs w:val="32"/>
        </w:rPr>
      </w:pPr>
    </w:p>
    <w:p w14:paraId="5765BFC2">
      <w:pPr>
        <w:pStyle w:val="7"/>
        <w:shd w:val="clear" w:color="auto" w:fill="FFFFFF"/>
        <w:spacing w:before="0" w:beforeAutospacing="0" w:after="0" w:afterAutospacing="0" w:line="600" w:lineRule="exact"/>
        <w:rPr>
          <w:rFonts w:hint="eastAsia" w:ascii="仿宋_GB2312" w:eastAsia="仿宋_GB2312"/>
          <w:kern w:val="36"/>
          <w:sz w:val="32"/>
          <w:szCs w:val="32"/>
        </w:rPr>
      </w:pPr>
      <w:r>
        <w:rPr>
          <w:rFonts w:hint="eastAsia" w:ascii="仿宋_GB2312" w:eastAsia="仿宋_GB2312"/>
          <w:kern w:val="36"/>
          <w:sz w:val="32"/>
          <w:szCs w:val="32"/>
        </w:rPr>
        <w:t>县委、县政府：</w:t>
      </w:r>
    </w:p>
    <w:p w14:paraId="491AEFE7">
      <w:pPr>
        <w:pStyle w:val="7"/>
        <w:shd w:val="clear" w:color="auto" w:fill="FFFFFF"/>
        <w:spacing w:before="0" w:beforeAutospacing="0" w:after="0" w:afterAutospacing="0" w:line="60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2024年，我局以习近平新时代中国特色社会主义思想为指导，在县委、县政府的正确领导下，在上级业务部门的指导下，在社会各界的大力支持下，在全体民政人的努力下，紧紧围绕“以民为本、为民解困、为民服务”的工作宗旨，紧扣《安溪县法治政府建设实施方案（2022-2025年）》，全面落实依法行政各项目标任务，着力提升民政系统依法行政能力，促进了民政事业健康发展。现将2024年法治政府建设工作情况报告如下：</w:t>
      </w:r>
    </w:p>
    <w:p w14:paraId="7744BE47">
      <w:pPr>
        <w:pStyle w:val="7"/>
        <w:shd w:val="clear" w:color="auto" w:fill="FFFFFF"/>
        <w:spacing w:before="0" w:beforeAutospacing="0" w:after="0" w:afterAutospacing="0" w:line="600" w:lineRule="exact"/>
        <w:rPr>
          <w:rFonts w:hint="eastAsia" w:ascii="黑体" w:hAnsi="黑体" w:eastAsia="黑体"/>
          <w:sz w:val="32"/>
          <w:szCs w:val="32"/>
        </w:rPr>
      </w:pPr>
      <w:r>
        <w:rPr>
          <w:rFonts w:hint="eastAsia" w:ascii="仿宋_GB2312" w:hAnsi="微软雅黑" w:eastAsia="仿宋_GB2312"/>
          <w:sz w:val="32"/>
          <w:szCs w:val="32"/>
        </w:rPr>
        <w:t>　</w:t>
      </w:r>
      <w:r>
        <w:rPr>
          <w:rFonts w:hint="eastAsia" w:ascii="楷体_GB2312" w:hAnsi="微软雅黑" w:eastAsia="楷体_GB2312"/>
          <w:b/>
          <w:sz w:val="32"/>
          <w:szCs w:val="32"/>
        </w:rPr>
        <w:t>　</w:t>
      </w:r>
      <w:r>
        <w:rPr>
          <w:rFonts w:hint="eastAsia" w:ascii="黑体" w:hAnsi="黑体" w:eastAsia="黑体"/>
          <w:sz w:val="32"/>
          <w:szCs w:val="32"/>
        </w:rPr>
        <w:t>一、聚焦政治统领，坚定法治政府正确方向</w:t>
      </w:r>
    </w:p>
    <w:p w14:paraId="0D69328A">
      <w:pPr>
        <w:pStyle w:val="7"/>
        <w:shd w:val="clear" w:color="auto" w:fill="FFFFFF"/>
        <w:spacing w:before="0" w:beforeAutospacing="0" w:after="0" w:afterAutospacing="0" w:line="600" w:lineRule="exact"/>
        <w:ind w:firstLine="627" w:firstLineChars="196"/>
        <w:rPr>
          <w:rFonts w:hint="eastAsia" w:ascii="楷体_GB2312" w:hAnsi="黑体" w:eastAsia="楷体_GB2312"/>
          <w:b/>
          <w:sz w:val="32"/>
          <w:szCs w:val="32"/>
        </w:rPr>
      </w:pPr>
      <w:r>
        <w:rPr>
          <w:rFonts w:hint="eastAsia" w:ascii="楷体_GB2312" w:hAnsi="黑体" w:eastAsia="楷体_GB2312"/>
          <w:b/>
          <w:sz w:val="32"/>
          <w:szCs w:val="32"/>
        </w:rPr>
        <w:t>（一）坚持思想引领</w:t>
      </w:r>
    </w:p>
    <w:p w14:paraId="1D8579D2">
      <w:pPr>
        <w:pStyle w:val="7"/>
        <w:shd w:val="clear" w:color="auto" w:fill="FFFFFF"/>
        <w:spacing w:before="0" w:beforeAutospacing="0" w:after="0" w:afterAutospacing="0" w:line="600" w:lineRule="exact"/>
        <w:ind w:firstLine="627" w:firstLineChars="196"/>
        <w:rPr>
          <w:rFonts w:hint="eastAsia" w:ascii="仿宋_GB2312" w:hAnsi="黑体" w:eastAsia="仿宋_GB2312"/>
          <w:sz w:val="32"/>
          <w:szCs w:val="32"/>
        </w:rPr>
      </w:pPr>
      <w:r>
        <w:rPr>
          <w:rFonts w:hint="eastAsia" w:ascii="仿宋_GB2312" w:hAnsi="黑体" w:eastAsia="仿宋_GB2312"/>
          <w:sz w:val="32"/>
          <w:szCs w:val="32"/>
        </w:rPr>
        <w:t>深入学习贯彻党的二十届三中全会及县委十三届七次全会精神，深化对习近平法治思想的学习培训。习近平总书记对民政工作的重要指示,</w:t>
      </w:r>
      <w:r>
        <w:rPr>
          <w:rFonts w:hint="eastAsia" w:ascii="仿宋_GB2312" w:hAnsi="Arial" w:eastAsia="仿宋_GB2312" w:cs="Arial"/>
          <w:sz w:val="32"/>
          <w:szCs w:val="32"/>
          <w:shd w:val="clear" w:color="auto" w:fill="FFFFFF"/>
        </w:rPr>
        <w:t xml:space="preserve"> 科学阐述了新时代新征程各级党委政府加强对民政工作领导的科学方法论，为当前和今后民政事业高质量发展提供了更加有力的政治保证。是对全国民政系统干部职工的极大鼓舞和有力鞭策，为我们战胜前进道路上一切困难增添了无穷力量，为新时代新征程民政事业高质量发展注入了强大动力。</w:t>
      </w:r>
    </w:p>
    <w:p w14:paraId="54186BF8">
      <w:pPr>
        <w:pStyle w:val="7"/>
        <w:shd w:val="clear" w:color="auto" w:fill="FFFFFF"/>
        <w:spacing w:before="0" w:beforeAutospacing="0" w:after="0" w:afterAutospacing="0" w:line="600" w:lineRule="exact"/>
        <w:rPr>
          <w:rFonts w:hint="eastAsia" w:ascii="楷体_GB2312" w:hAnsi="微软雅黑" w:eastAsia="楷体_GB2312"/>
          <w:b/>
          <w:sz w:val="32"/>
          <w:szCs w:val="32"/>
        </w:rPr>
      </w:pPr>
      <w:r>
        <w:rPr>
          <w:rFonts w:hint="eastAsia" w:ascii="仿宋_GB2312" w:hAnsi="微软雅黑" w:eastAsia="仿宋_GB2312"/>
          <w:sz w:val="32"/>
          <w:szCs w:val="32"/>
        </w:rPr>
        <w:t>　</w:t>
      </w:r>
      <w:r>
        <w:rPr>
          <w:rFonts w:hint="eastAsia" w:ascii="楷体_GB2312" w:hAnsi="微软雅黑" w:eastAsia="楷体_GB2312"/>
          <w:sz w:val="32"/>
          <w:szCs w:val="32"/>
        </w:rPr>
        <w:t>　</w:t>
      </w:r>
      <w:r>
        <w:rPr>
          <w:rFonts w:hint="eastAsia" w:ascii="楷体_GB2312" w:hAnsi="微软雅黑" w:eastAsia="楷体_GB2312"/>
          <w:b/>
          <w:sz w:val="32"/>
          <w:szCs w:val="32"/>
        </w:rPr>
        <w:t>（二）切实履行法治建设第一责任人职责</w:t>
      </w:r>
    </w:p>
    <w:p w14:paraId="4B010327">
      <w:pPr>
        <w:pStyle w:val="7"/>
        <w:shd w:val="clear" w:color="auto" w:fill="FFFFFF"/>
        <w:spacing w:before="0" w:beforeAutospacing="0" w:after="0" w:afterAutospacing="0" w:line="600" w:lineRule="exact"/>
        <w:ind w:firstLine="627" w:firstLineChars="196"/>
        <w:rPr>
          <w:rFonts w:hint="eastAsia" w:ascii="仿宋_GB2312" w:hAnsi="微软雅黑" w:eastAsia="仿宋_GB2312"/>
          <w:sz w:val="32"/>
          <w:szCs w:val="32"/>
        </w:rPr>
      </w:pPr>
      <w:r>
        <w:rPr>
          <w:rFonts w:hint="eastAsia" w:ascii="仿宋_GB2312" w:hAnsi="微软雅黑" w:eastAsia="仿宋_GB2312"/>
          <w:sz w:val="32"/>
          <w:szCs w:val="32"/>
        </w:rPr>
        <w:t xml:space="preserve">建立健全领导机制。我局把法治政府建设工作列入重要议事日程，及时调整完善法治政府建设工作领导小组，确保该项工作有人抓，有人管。专题研究部署法治政府建设工作，做到有部署、有检查、有总结，形成 “一把手”亲自抓、分管领导具体抓、业务部门协同抓，全局干部职工齐力抓的工作格局。　　     </w:t>
      </w:r>
    </w:p>
    <w:p w14:paraId="236609F7">
      <w:pPr>
        <w:pStyle w:val="7"/>
        <w:shd w:val="clear" w:color="auto" w:fill="FFFFFF"/>
        <w:spacing w:before="0" w:beforeAutospacing="0" w:after="0" w:afterAutospacing="0" w:line="600" w:lineRule="exact"/>
        <w:ind w:firstLine="627" w:firstLineChars="196"/>
        <w:rPr>
          <w:rFonts w:hint="eastAsia" w:ascii="楷体_GB2312" w:hAnsi="微软雅黑" w:eastAsia="楷体_GB2312"/>
          <w:b/>
          <w:sz w:val="32"/>
          <w:szCs w:val="32"/>
        </w:rPr>
      </w:pPr>
      <w:r>
        <w:rPr>
          <w:rFonts w:hint="eastAsia" w:ascii="楷体_GB2312" w:hAnsi="微软雅黑" w:eastAsia="楷体_GB2312"/>
          <w:b/>
          <w:sz w:val="32"/>
          <w:szCs w:val="32"/>
        </w:rPr>
        <w:t>（三）完善法治政府建设推进落实机制</w:t>
      </w:r>
    </w:p>
    <w:p w14:paraId="7B875847">
      <w:pPr>
        <w:pStyle w:val="7"/>
        <w:shd w:val="clear" w:color="auto" w:fill="FFFFFF"/>
        <w:spacing w:before="0" w:beforeAutospacing="0" w:after="0" w:afterAutospacing="0" w:line="600" w:lineRule="exact"/>
        <w:ind w:firstLine="648"/>
        <w:rPr>
          <w:rFonts w:hint="eastAsia" w:ascii="仿宋_GB2312" w:hAnsi="微软雅黑" w:eastAsia="仿宋_GB2312"/>
          <w:sz w:val="32"/>
          <w:szCs w:val="32"/>
        </w:rPr>
      </w:pPr>
      <w:r>
        <w:rPr>
          <w:rFonts w:hint="eastAsia" w:ascii="仿宋_GB2312" w:hAnsi="微软雅黑" w:eastAsia="仿宋_GB2312"/>
          <w:sz w:val="32"/>
          <w:szCs w:val="32"/>
        </w:rPr>
        <w:t>我局将法治宣传教育作为法治建设的一项重要工作来抓，以此推动机关管理方式的改进和依法行政水平的提高。一是继续执行《2024年安溪县民政局学法计划》，明确法制学习和培训的责任主体、具体方式、内容等，初步建立规范化、制度化的法治学习和培训体系。二是完善局机关学法制度，将政治学习与国家法律法规和规章制度，特别是与民政工作相关的法规制度学习相结合，有效提升领导干部综合素质和领导能力。三是结合民政工作实际与特点，开展民政法律、法规、规章及规范性文件等的学习，加强依法行政宣传教育，切实做到有组织、有计划地提高民政干部职工的法律意识和依法行政水平。切实增强了广大干部职工依法履职能力，做到学法、懂法、守法。</w:t>
      </w:r>
    </w:p>
    <w:p w14:paraId="4284695F">
      <w:pPr>
        <w:pStyle w:val="7"/>
        <w:shd w:val="clear" w:color="auto" w:fill="FFFFFF"/>
        <w:spacing w:before="0" w:beforeAutospacing="0" w:after="0" w:afterAutospacing="0" w:line="600" w:lineRule="exact"/>
        <w:ind w:firstLine="648"/>
        <w:rPr>
          <w:rFonts w:hint="eastAsia" w:ascii="黑体" w:hAnsi="黑体" w:eastAsia="黑体"/>
          <w:sz w:val="32"/>
          <w:szCs w:val="32"/>
        </w:rPr>
      </w:pPr>
      <w:r>
        <w:rPr>
          <w:rFonts w:hint="eastAsia" w:ascii="黑体" w:hAnsi="黑体" w:eastAsia="黑体"/>
          <w:sz w:val="32"/>
          <w:szCs w:val="32"/>
        </w:rPr>
        <w:t>二、聚焦全面履职，护航经济社会发展大局</w:t>
      </w:r>
    </w:p>
    <w:p w14:paraId="4925BCE9">
      <w:pPr>
        <w:pStyle w:val="7"/>
        <w:shd w:val="clear" w:color="auto" w:fill="FFFFFF"/>
        <w:spacing w:before="0" w:beforeAutospacing="0" w:after="0" w:afterAutospacing="0" w:line="600" w:lineRule="exact"/>
        <w:rPr>
          <w:rFonts w:hint="eastAsia" w:ascii="楷体_GB2312" w:hAnsi="微软雅黑" w:eastAsia="楷体_GB2312"/>
          <w:b/>
          <w:sz w:val="32"/>
          <w:szCs w:val="32"/>
        </w:rPr>
      </w:pPr>
      <w:r>
        <w:rPr>
          <w:rFonts w:hint="eastAsia" w:ascii="仿宋_GB2312" w:hAnsi="微软雅黑" w:eastAsia="仿宋_GB2312"/>
          <w:sz w:val="32"/>
          <w:szCs w:val="32"/>
        </w:rPr>
        <w:t>　</w:t>
      </w:r>
      <w:r>
        <w:rPr>
          <w:rFonts w:hint="eastAsia" w:ascii="楷体_GB2312" w:hAnsi="微软雅黑" w:eastAsia="楷体_GB2312"/>
          <w:sz w:val="32"/>
          <w:szCs w:val="32"/>
        </w:rPr>
        <w:t>　</w:t>
      </w:r>
      <w:r>
        <w:rPr>
          <w:rFonts w:hint="eastAsia" w:ascii="楷体_GB2312" w:hAnsi="微软雅黑" w:eastAsia="楷体_GB2312"/>
          <w:b/>
          <w:sz w:val="32"/>
          <w:szCs w:val="32"/>
        </w:rPr>
        <w:t>（一）提升政务服务效能</w:t>
      </w:r>
    </w:p>
    <w:p w14:paraId="356FB5C2">
      <w:pPr>
        <w:pStyle w:val="7"/>
        <w:shd w:val="clear" w:color="auto" w:fill="FFFFFF"/>
        <w:spacing w:before="0" w:beforeAutospacing="0" w:after="0" w:afterAutospacing="0" w:line="600" w:lineRule="exact"/>
        <w:rPr>
          <w:rFonts w:hint="eastAsia" w:ascii="仿宋_GB2312" w:hAnsi="微软雅黑" w:eastAsia="仿宋_GB2312"/>
          <w:sz w:val="32"/>
          <w:szCs w:val="32"/>
        </w:rPr>
      </w:pPr>
      <w:r>
        <w:rPr>
          <w:rFonts w:hint="eastAsia" w:ascii="仿宋_GB2312" w:hAnsi="微软雅黑" w:eastAsia="仿宋_GB2312"/>
          <w:sz w:val="32"/>
          <w:szCs w:val="32"/>
        </w:rPr>
        <w:t>　　一是严格执行依法决策制度。建立完善重大决策合法性审查、听取公众意见、风险评估、专家咨询论证、结果公示等制度，从而提高行政决策质量。对涉及项目建设、党建工作、干部考核、任免奖惩等重要事宜，严格执行民主审定程序。强化落实重大具体行政行为的决策程序，做到了依法行政工作有章可循、按章办事、规范操作。</w:t>
      </w:r>
    </w:p>
    <w:p w14:paraId="06816613">
      <w:pPr>
        <w:pStyle w:val="7"/>
        <w:shd w:val="clear" w:color="auto" w:fill="FFFFFF"/>
        <w:spacing w:before="0" w:beforeAutospacing="0" w:after="0" w:afterAutospacing="0" w:line="600" w:lineRule="exact"/>
        <w:rPr>
          <w:rFonts w:hint="eastAsia" w:ascii="仿宋_GB2312" w:hAnsi="微软雅黑" w:eastAsia="仿宋_GB2312"/>
          <w:sz w:val="32"/>
          <w:szCs w:val="32"/>
        </w:rPr>
      </w:pPr>
      <w:r>
        <w:rPr>
          <w:rFonts w:hint="eastAsia" w:ascii="仿宋_GB2312" w:hAnsi="微软雅黑" w:eastAsia="仿宋_GB2312"/>
          <w:sz w:val="32"/>
          <w:szCs w:val="32"/>
        </w:rPr>
        <w:t>　　二是加强执法人员考试制度。为加强民政工作人员依法持证执法，及时组织对履行执法职责的工作人员参加省民政厅组织的全省民政系统行政执法资格考试，确保了依法行政稳步推进，进一步助推了此项工作步入规范化、法治化轨道，提升了民政干部依法行政能力。</w:t>
      </w:r>
    </w:p>
    <w:p w14:paraId="76D2BDE0">
      <w:pPr>
        <w:pStyle w:val="7"/>
        <w:shd w:val="clear" w:color="auto" w:fill="FFFFFF"/>
        <w:spacing w:before="0" w:beforeAutospacing="0" w:after="0" w:afterAutospacing="0" w:line="600" w:lineRule="exact"/>
        <w:rPr>
          <w:rFonts w:hint="eastAsia" w:ascii="仿宋_GB2312" w:hAnsi="微软雅黑" w:eastAsia="仿宋_GB2312"/>
          <w:sz w:val="32"/>
          <w:szCs w:val="32"/>
        </w:rPr>
      </w:pPr>
      <w:r>
        <w:rPr>
          <w:rFonts w:hint="eastAsia" w:ascii="仿宋_GB2312" w:hAnsi="微软雅黑" w:eastAsia="仿宋_GB2312"/>
          <w:sz w:val="32"/>
          <w:szCs w:val="32"/>
        </w:rPr>
        <w:t>　　三是规范完善行政执法工作。为严格开展行政执法，我局以低保专项整治、“乡村振兴”活动为契机，对全县所有已享受低保对象开展一次“大排查、大清理、大整治”活动。专项整治活动以问题为导向，着重解决群众反映强烈的“人情保”、“骗保”、“错保”、个体工商户和私营企业主、死亡人员领取低保等违规享受低保问题。通过建立完善精准识别纠错机制和责任追究机制，做到精准识别低保对象，精准救助困难群众，规范审核审批操作程序，动态管理有序，监督检查常态，全面提高我县低保工作规范化管理水平，促进低保政策公平公正实施，推动了城乡低保等社会救助政策规范实施，全面提高社会保障资金的管理水平和基层社会救助服务水平，依法清核整治工作成效显著。常年加大殡葬执法力度，着力营造良好的殡葬秩序。</w:t>
      </w:r>
    </w:p>
    <w:p w14:paraId="4406046D">
      <w:pPr>
        <w:pStyle w:val="7"/>
        <w:shd w:val="clear" w:color="auto" w:fill="FFFFFF"/>
        <w:spacing w:before="0" w:beforeAutospacing="0" w:after="0" w:afterAutospacing="0" w:line="600" w:lineRule="exact"/>
        <w:ind w:firstLine="648"/>
        <w:rPr>
          <w:rFonts w:hint="eastAsia" w:ascii="仿宋_GB2312" w:hAnsi="微软雅黑" w:eastAsia="仿宋_GB2312"/>
          <w:sz w:val="32"/>
          <w:szCs w:val="32"/>
        </w:rPr>
      </w:pPr>
      <w:r>
        <w:rPr>
          <w:rFonts w:hint="eastAsia" w:ascii="仿宋_GB2312" w:hAnsi="微软雅黑" w:eastAsia="仿宋_GB2312"/>
          <w:sz w:val="32"/>
          <w:szCs w:val="32"/>
        </w:rPr>
        <w:t>四是贯彻落实《中国共产党党内法规执行责任制规定（试行）工作。</w:t>
      </w:r>
      <w:r>
        <w:rPr>
          <w:rFonts w:hint="eastAsia" w:ascii="仿宋_GB2312" w:hAnsi="新宋体" w:eastAsia="仿宋_GB2312"/>
          <w:sz w:val="32"/>
          <w:szCs w:val="32"/>
          <w:shd w:val="clear" w:color="auto" w:fill="FFFFFF"/>
        </w:rPr>
        <w:t>把学习贯彻《规定》作为重要政治任务，要求党员干部从讲政治的高度深刻认识党内法规执行工作的重要意义，切实担负起执行党内法规的政治责任。</w:t>
      </w:r>
    </w:p>
    <w:p w14:paraId="4074AE83">
      <w:pPr>
        <w:pStyle w:val="7"/>
        <w:shd w:val="clear" w:color="auto" w:fill="FFFFFF"/>
        <w:spacing w:before="0" w:beforeAutospacing="0" w:after="0" w:afterAutospacing="0" w:line="600" w:lineRule="exact"/>
        <w:ind w:firstLine="648"/>
        <w:rPr>
          <w:rFonts w:hint="eastAsia" w:ascii="仿宋_GB2312" w:hAnsi="微软雅黑" w:eastAsia="仿宋_GB2312"/>
          <w:sz w:val="32"/>
          <w:szCs w:val="32"/>
        </w:rPr>
      </w:pPr>
      <w:r>
        <w:rPr>
          <w:rFonts w:hint="eastAsia" w:ascii="楷体_GB2312" w:hAnsi="黑体" w:eastAsia="楷体_GB2312"/>
          <w:b/>
          <w:sz w:val="32"/>
          <w:szCs w:val="32"/>
        </w:rPr>
        <w:t>（二）着力依法依规履职尽责</w:t>
      </w:r>
    </w:p>
    <w:p w14:paraId="5DA7FFE7">
      <w:pPr>
        <w:pStyle w:val="7"/>
        <w:shd w:val="clear" w:color="auto" w:fill="FFFFFF"/>
        <w:spacing w:before="0" w:beforeAutospacing="0" w:after="0" w:afterAutospacing="0" w:line="600" w:lineRule="exact"/>
        <w:ind w:firstLine="648"/>
        <w:rPr>
          <w:rFonts w:hint="eastAsia" w:ascii="仿宋_GB2312" w:hAnsi="微软雅黑" w:eastAsia="仿宋_GB2312"/>
          <w:sz w:val="32"/>
          <w:szCs w:val="32"/>
        </w:rPr>
      </w:pPr>
      <w:r>
        <w:rPr>
          <w:rFonts w:hint="eastAsia" w:ascii="仿宋_GB2312" w:hAnsi="微软雅黑" w:eastAsia="仿宋_GB2312"/>
          <w:sz w:val="32"/>
          <w:szCs w:val="32"/>
        </w:rPr>
        <w:t>一是做好流浪乞讨救助。我局积极主动为城市生活无着的流浪乞讨人员提供了各项救助，为流浪乞讨人员得到及时救助提供了便捷服务。我局还主动与乡镇、学校、公安等部门沟通，对全县的农村留守儿童、困境家庭儿童进行了全面清理排查。在此基础上，我局认真按照民政部关于尽快建立救助管理信息系统的通知精神，进一步完善了基础数据、基础资料、统计台账，加快了信息技术在救助工作中的推广运用，实现了救助工作信息系统网络化。二是狠抓民间组织管理。根据民间组织管理规定，我局对全县各类社会团体、民办非企业单位依法开展了年检。三是依法办理婚姻登记。婚姻登记坚持依法依规从严审核，其办证合格率、满意率均为100%。并进一步规范了婚姻登记档案的收集、整理、立卷、归档，深受社会各界高度赞誉。</w:t>
      </w:r>
    </w:p>
    <w:p w14:paraId="6E67689C">
      <w:pPr>
        <w:pStyle w:val="7"/>
        <w:shd w:val="clear" w:color="auto" w:fill="FFFFFF"/>
        <w:spacing w:before="0" w:beforeAutospacing="0" w:after="0" w:afterAutospacing="0" w:line="600" w:lineRule="exact"/>
        <w:ind w:firstLine="648"/>
        <w:rPr>
          <w:rFonts w:hint="eastAsia" w:ascii="黑体" w:hAnsi="黑体" w:eastAsia="黑体"/>
          <w:sz w:val="32"/>
          <w:szCs w:val="32"/>
        </w:rPr>
      </w:pPr>
      <w:r>
        <w:rPr>
          <w:rFonts w:hint="eastAsia" w:ascii="黑体" w:hAnsi="黑体" w:eastAsia="黑体"/>
          <w:sz w:val="32"/>
          <w:szCs w:val="32"/>
        </w:rPr>
        <w:t>三、聚焦高效实施，优化政府治理制度供给</w:t>
      </w:r>
    </w:p>
    <w:p w14:paraId="23370D13">
      <w:pPr>
        <w:pStyle w:val="7"/>
        <w:shd w:val="clear" w:color="auto" w:fill="FFFFFF"/>
        <w:spacing w:before="0" w:beforeAutospacing="0" w:after="0" w:afterAutospacing="0" w:line="600" w:lineRule="exact"/>
        <w:ind w:firstLine="648"/>
        <w:rPr>
          <w:rFonts w:hint="eastAsia" w:ascii="仿宋_GB2312" w:hAnsi="微软雅黑" w:eastAsia="仿宋_GB2312"/>
          <w:sz w:val="32"/>
          <w:szCs w:val="32"/>
        </w:rPr>
      </w:pPr>
      <w:r>
        <w:rPr>
          <w:rFonts w:hint="eastAsia" w:ascii="仿宋_GB2312" w:hAnsi="微软雅黑" w:eastAsia="仿宋_GB2312"/>
          <w:sz w:val="32"/>
          <w:szCs w:val="32"/>
        </w:rPr>
        <w:t>强化行政规范性文件监督管理。切实加强依法行政制度体系建设，严格按照县相关规范性文件规定，认真开展规范性文件清理，对规范性文件按程序报批备案并及时予以公开，接受社会各界监督。</w:t>
      </w:r>
    </w:p>
    <w:p w14:paraId="3A80BF3B">
      <w:pPr>
        <w:pStyle w:val="7"/>
        <w:shd w:val="clear" w:color="auto" w:fill="FFFFFF"/>
        <w:spacing w:before="0" w:beforeAutospacing="0" w:after="0" w:afterAutospacing="0" w:line="600" w:lineRule="exact"/>
        <w:ind w:firstLine="648"/>
        <w:rPr>
          <w:rFonts w:hint="eastAsia" w:ascii="黑体" w:hAnsi="黑体" w:eastAsia="黑体"/>
          <w:sz w:val="32"/>
          <w:szCs w:val="32"/>
        </w:rPr>
      </w:pPr>
      <w:r>
        <w:rPr>
          <w:rFonts w:hint="eastAsia" w:ascii="黑体" w:hAnsi="黑体" w:eastAsia="黑体"/>
          <w:sz w:val="32"/>
          <w:szCs w:val="32"/>
        </w:rPr>
        <w:t>四、聚焦改革创新，提升行政执法质量效能</w:t>
      </w:r>
    </w:p>
    <w:p w14:paraId="6EE87A8F">
      <w:pPr>
        <w:pStyle w:val="7"/>
        <w:shd w:val="clear" w:color="auto" w:fill="FFFFFF"/>
        <w:spacing w:before="0" w:beforeAutospacing="0" w:after="0" w:afterAutospacing="0" w:line="600" w:lineRule="exact"/>
        <w:rPr>
          <w:rFonts w:hint="eastAsia" w:ascii="楷体_GB2312" w:hAnsi="黑体" w:eastAsia="楷体_GB2312"/>
          <w:b/>
          <w:sz w:val="32"/>
          <w:szCs w:val="32"/>
        </w:rPr>
      </w:pPr>
      <w:r>
        <w:rPr>
          <w:rFonts w:hint="eastAsia" w:ascii="仿宋_GB2312" w:hAnsi="微软雅黑" w:eastAsia="仿宋_GB2312"/>
          <w:sz w:val="32"/>
          <w:szCs w:val="32"/>
        </w:rPr>
        <w:t>　　</w:t>
      </w:r>
      <w:r>
        <w:rPr>
          <w:rFonts w:hint="eastAsia" w:ascii="楷体_GB2312" w:hAnsi="黑体" w:eastAsia="楷体_GB2312"/>
          <w:b/>
          <w:sz w:val="32"/>
          <w:szCs w:val="32"/>
        </w:rPr>
        <w:t>（一）加强重点领域执法力度</w:t>
      </w:r>
    </w:p>
    <w:p w14:paraId="7C8F248F">
      <w:pPr>
        <w:pStyle w:val="7"/>
        <w:shd w:val="clear" w:color="auto" w:fill="FFFFFF"/>
        <w:spacing w:before="0" w:beforeAutospacing="0" w:after="0" w:afterAutospacing="0" w:line="600" w:lineRule="exact"/>
        <w:ind w:firstLine="648"/>
        <w:rPr>
          <w:rFonts w:hint="eastAsia" w:ascii="仿宋_GB2312" w:hAnsi="微软雅黑" w:eastAsia="仿宋_GB2312"/>
          <w:sz w:val="32"/>
          <w:szCs w:val="32"/>
        </w:rPr>
      </w:pPr>
      <w:r>
        <w:rPr>
          <w:rFonts w:hint="eastAsia" w:ascii="仿宋_GB2312" w:hAnsi="微软雅黑" w:eastAsia="仿宋_GB2312"/>
          <w:sz w:val="32"/>
          <w:szCs w:val="32"/>
        </w:rPr>
        <w:t>我局高度重视“两案办理”工作，对人大代表建议、政协委员提案，深入调查研究，狠抓具体落实。人大代表建议、政协委员提案均在规定时间内办结。2024年办理县人大代表建议答复函6件，县政协委员提案答复函8件，满意率均达到100%。同时，加强对各项民政专项资金的监督和管理，对各乡镇民政资金进行了专项审计，有效杜绝了违规违法行为发生。并严格落实局机关负责人出庭应诉制度，畅通群众举报投诉和媒体监督渠道，定期听取各股室执法情况汇报。</w:t>
      </w:r>
    </w:p>
    <w:p w14:paraId="56C69FB8">
      <w:pPr>
        <w:pStyle w:val="7"/>
        <w:shd w:val="clear" w:color="auto" w:fill="FFFFFF"/>
        <w:spacing w:before="0" w:beforeAutospacing="0" w:after="0" w:afterAutospacing="0" w:line="600" w:lineRule="exact"/>
        <w:ind w:firstLine="648"/>
        <w:rPr>
          <w:rFonts w:hint="eastAsia" w:ascii="楷体_GB2312" w:hAnsi="微软雅黑" w:eastAsia="楷体_GB2312"/>
          <w:b/>
          <w:sz w:val="32"/>
          <w:szCs w:val="32"/>
        </w:rPr>
      </w:pPr>
      <w:r>
        <w:rPr>
          <w:rFonts w:hint="eastAsia" w:ascii="楷体_GB2312" w:hAnsi="微软雅黑" w:eastAsia="楷体_GB2312"/>
          <w:b/>
          <w:sz w:val="32"/>
          <w:szCs w:val="32"/>
        </w:rPr>
        <w:t>（二）加强行政执法规范化建设</w:t>
      </w:r>
    </w:p>
    <w:p w14:paraId="7D746C66">
      <w:pPr>
        <w:pStyle w:val="7"/>
        <w:shd w:val="clear" w:color="auto" w:fill="FFFFFF"/>
        <w:spacing w:before="0" w:beforeAutospacing="0" w:after="0" w:afterAutospacing="0" w:line="600" w:lineRule="exact"/>
        <w:ind w:firstLine="648"/>
        <w:rPr>
          <w:rFonts w:hint="eastAsia" w:ascii="仿宋_GB2312" w:hAnsi="微软雅黑" w:eastAsia="仿宋_GB2312"/>
          <w:sz w:val="32"/>
          <w:szCs w:val="32"/>
          <w:shd w:val="clear" w:color="auto" w:fill="FFFFFF"/>
        </w:rPr>
      </w:pPr>
      <w:r>
        <w:rPr>
          <w:rFonts w:hint="eastAsia" w:ascii="仿宋_GB2312" w:hAnsi="微软雅黑" w:eastAsia="仿宋_GB2312"/>
          <w:sz w:val="32"/>
          <w:szCs w:val="32"/>
        </w:rPr>
        <w:t>完善行政执法程序、创新行政执法方式，健全行政裁量权基准。</w:t>
      </w:r>
      <w:r>
        <w:rPr>
          <w:rFonts w:hint="eastAsia" w:ascii="仿宋_GB2312" w:hAnsi="微软雅黑" w:eastAsia="仿宋_GB2312"/>
          <w:sz w:val="32"/>
          <w:szCs w:val="32"/>
          <w:shd w:val="clear" w:color="auto" w:fill="FFFFFF"/>
        </w:rPr>
        <w:t>根据法律、法规、规章，动态调整行政裁量权基准，明确适用情形和配套监管措施，细化量化执法尺度，避免行政执法的随意性。强化重点领域监管治理，建立以“双随机、一公开”为手段、以重点监管为补充、以信用监管为基础的监管机制。开展社会组织矛盾纠纷调解工作，及时约谈监管对象。开展全县民政领域行政执法突出问题整治行动以及殡葬领域突出问题专项整治。</w:t>
      </w:r>
    </w:p>
    <w:p w14:paraId="5394F268">
      <w:pPr>
        <w:pStyle w:val="7"/>
        <w:shd w:val="clear" w:color="auto" w:fill="FFFFFF"/>
        <w:spacing w:before="0" w:beforeAutospacing="0" w:after="0" w:afterAutospacing="0" w:line="600" w:lineRule="exact"/>
        <w:ind w:firstLine="648"/>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五、聚焦科学规范，强化行政权力制约监督</w:t>
      </w:r>
    </w:p>
    <w:p w14:paraId="63C26C20">
      <w:pPr>
        <w:pStyle w:val="7"/>
        <w:shd w:val="clear" w:color="auto" w:fill="FFFFFF"/>
        <w:spacing w:before="0" w:beforeAutospacing="0" w:after="0" w:afterAutospacing="0" w:line="600" w:lineRule="exact"/>
        <w:ind w:firstLine="648"/>
        <w:rPr>
          <w:rFonts w:hint="eastAsia" w:ascii="楷体_GB2312" w:hAnsi="微软雅黑" w:eastAsia="楷体_GB2312"/>
          <w:b/>
          <w:sz w:val="32"/>
          <w:szCs w:val="32"/>
          <w:shd w:val="clear" w:color="auto" w:fill="FFFFFF"/>
        </w:rPr>
      </w:pPr>
      <w:r>
        <w:rPr>
          <w:rFonts w:hint="eastAsia" w:ascii="楷体_GB2312" w:hAnsi="微软雅黑" w:eastAsia="楷体_GB2312"/>
          <w:b/>
          <w:sz w:val="32"/>
          <w:szCs w:val="32"/>
          <w:shd w:val="clear" w:color="auto" w:fill="FFFFFF"/>
        </w:rPr>
        <w:t>（一）严格落实重大行政决策制度</w:t>
      </w:r>
    </w:p>
    <w:p w14:paraId="353C1D6C">
      <w:pPr>
        <w:pStyle w:val="7"/>
        <w:shd w:val="clear" w:color="auto" w:fill="FFFFFF"/>
        <w:spacing w:before="0" w:beforeAutospacing="0" w:after="0" w:afterAutospacing="0" w:line="60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shd w:val="clear" w:color="auto" w:fill="FFFFFF"/>
        </w:rPr>
        <w:t>贯彻实施《重大行政决策程序暂行条例》，</w:t>
      </w:r>
      <w:r>
        <w:rPr>
          <w:rFonts w:hint="eastAsia" w:ascii="仿宋_GB2312" w:hAnsi="微软雅黑" w:eastAsia="仿宋_GB2312"/>
          <w:sz w:val="32"/>
          <w:szCs w:val="32"/>
        </w:rPr>
        <w:t>落实法律顾问制度。常年聘请法律顾问，为我局婚姻登记、城乡低保、信访维稳等方面做到事前法律风险评估，全方位进行依法行政监督。</w:t>
      </w:r>
    </w:p>
    <w:p w14:paraId="4A65A4D6">
      <w:pPr>
        <w:pStyle w:val="7"/>
        <w:shd w:val="clear" w:color="auto" w:fill="FFFFFF"/>
        <w:spacing w:before="0" w:beforeAutospacing="0" w:after="0" w:afterAutospacing="0" w:line="600" w:lineRule="exact"/>
        <w:ind w:firstLine="648"/>
        <w:rPr>
          <w:rFonts w:hint="eastAsia" w:ascii="楷体_GB2312" w:hAnsi="微软雅黑" w:eastAsia="楷体_GB2312"/>
          <w:b/>
          <w:sz w:val="32"/>
          <w:szCs w:val="32"/>
        </w:rPr>
      </w:pPr>
      <w:r>
        <w:rPr>
          <w:rFonts w:hint="eastAsia" w:ascii="楷体_GB2312" w:hAnsi="微软雅黑" w:eastAsia="楷体_GB2312"/>
          <w:b/>
          <w:sz w:val="32"/>
          <w:szCs w:val="32"/>
        </w:rPr>
        <w:t>（二）深化政务公开和政务诚信建设</w:t>
      </w:r>
    </w:p>
    <w:p w14:paraId="50DDD7EE">
      <w:pPr>
        <w:pStyle w:val="7"/>
        <w:shd w:val="clear" w:color="auto" w:fill="FFFFFF"/>
        <w:spacing w:before="0" w:beforeAutospacing="0" w:after="0" w:afterAutospacing="0" w:line="60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严格执行《中华人民共和国政府信息公开条例》，狠抓局机关政务公开等社会各界普遍关注的民政事务，及时更新工作动态，按时将民政系列惠民政策、办事指南、规章制度等在县政府门户网站以及印发宣传资料等媒介及时向社会和公众公布。进一步完善了我局政府信息公开工作机制。并切实加强行政权力公开运行力度，认真做好权力清单相关工作，积极稳妥深化“放管服”相关事宜。</w:t>
      </w:r>
      <w:r>
        <w:rPr>
          <w:rFonts w:hint="eastAsia" w:ascii="仿宋_GB2312" w:hAnsi="微软雅黑" w:eastAsia="仿宋_GB2312"/>
          <w:sz w:val="32"/>
          <w:szCs w:val="32"/>
          <w:shd w:val="clear" w:color="auto" w:fill="FFFFFF"/>
        </w:rPr>
        <w:t>强化公职人员诚信服务意识，促进工作作风转变。引导机关干部职工树立正确的诚信观，自觉践行诚实做人、诚信服务，争做诚实守信的传播者和践行者。发挥政府在社会信用体系建设中的表率作用，提高依法行政水平，进一步提升政府公信力。加强与业务工作的紧密结合，强化信用监管、信用承诺等各项工作开展，确保信用工作落到实处。</w:t>
      </w:r>
    </w:p>
    <w:p w14:paraId="596519C0">
      <w:pPr>
        <w:pStyle w:val="7"/>
        <w:shd w:val="clear" w:color="auto" w:fill="FFFFFF"/>
        <w:spacing w:before="0" w:beforeAutospacing="0" w:after="0" w:afterAutospacing="0" w:line="600" w:lineRule="exact"/>
        <w:ind w:firstLine="648"/>
        <w:rPr>
          <w:rFonts w:hint="eastAsia" w:ascii="黑体" w:hAnsi="黑体" w:eastAsia="黑体"/>
          <w:sz w:val="32"/>
          <w:szCs w:val="32"/>
        </w:rPr>
      </w:pPr>
      <w:r>
        <w:rPr>
          <w:rFonts w:hint="eastAsia" w:ascii="黑体" w:hAnsi="黑体" w:eastAsia="黑体"/>
          <w:sz w:val="32"/>
          <w:szCs w:val="32"/>
        </w:rPr>
        <w:t>六、聚焦法治为民，夯实法治社会建设基础</w:t>
      </w:r>
    </w:p>
    <w:p w14:paraId="3CC781F5">
      <w:pPr>
        <w:pStyle w:val="7"/>
        <w:shd w:val="clear" w:color="auto" w:fill="FFFFFF"/>
        <w:spacing w:before="0" w:beforeAutospacing="0" w:after="0" w:afterAutospacing="0" w:line="600" w:lineRule="exact"/>
        <w:rPr>
          <w:rFonts w:hint="eastAsia" w:ascii="楷体_GB2312" w:hAnsi="黑体" w:eastAsia="楷体_GB2312"/>
          <w:b/>
          <w:sz w:val="32"/>
          <w:szCs w:val="32"/>
        </w:rPr>
      </w:pPr>
      <w:r>
        <w:rPr>
          <w:rFonts w:hint="eastAsia" w:ascii="仿宋_GB2312" w:hAnsi="微软雅黑" w:eastAsia="仿宋_GB2312"/>
          <w:sz w:val="32"/>
          <w:szCs w:val="32"/>
        </w:rPr>
        <w:t>　　</w:t>
      </w:r>
      <w:r>
        <w:rPr>
          <w:rFonts w:hint="eastAsia" w:ascii="楷体_GB2312" w:hAnsi="黑体" w:eastAsia="楷体_GB2312"/>
          <w:b/>
          <w:sz w:val="32"/>
          <w:szCs w:val="32"/>
        </w:rPr>
        <w:t>（一）健全矛盾纠纷预防调处化解体系</w:t>
      </w:r>
    </w:p>
    <w:p w14:paraId="0BE02B64">
      <w:pPr>
        <w:pStyle w:val="7"/>
        <w:shd w:val="clear" w:color="auto" w:fill="FFFFFF"/>
        <w:spacing w:before="0" w:beforeAutospacing="0" w:after="0" w:afterAutospacing="0" w:line="600" w:lineRule="exact"/>
        <w:ind w:firstLine="648"/>
        <w:rPr>
          <w:rFonts w:hint="eastAsia" w:ascii="仿宋_GB2312" w:hAnsi="微软雅黑" w:eastAsia="仿宋_GB2312"/>
          <w:sz w:val="32"/>
          <w:szCs w:val="32"/>
        </w:rPr>
      </w:pPr>
      <w:r>
        <w:rPr>
          <w:rFonts w:hint="eastAsia" w:ascii="仿宋_GB2312" w:hAnsi="微软雅黑" w:eastAsia="仿宋_GB2312"/>
          <w:sz w:val="32"/>
          <w:szCs w:val="32"/>
        </w:rPr>
        <w:t>推进行政调解、人民调解、信访法治化工作。在实际工作中，我局认真贯彻落实《行政复议法》，引导民政对象依法通过行政复议渠道解决行政争议，力争把行政争议化解在基层、化解在初发阶段、化解在行政程序中。认真贯彻落实《信访条例》，及时排查化解矛盾纠纷，对各类来信来访者，做好政策解答和说服教育工作。紧紧围绕民政中心工作，通过开展领导包案，重信重访专项治理等活动，坚持认真办信、文明接访，做到件件有答复、有回音、有落实。</w:t>
      </w:r>
    </w:p>
    <w:p w14:paraId="2F7AD915">
      <w:pPr>
        <w:pStyle w:val="7"/>
        <w:shd w:val="clear" w:color="auto" w:fill="FFFFFF"/>
        <w:spacing w:before="0" w:beforeAutospacing="0" w:after="0" w:afterAutospacing="0" w:line="600" w:lineRule="exact"/>
        <w:ind w:firstLine="648"/>
        <w:rPr>
          <w:rFonts w:hint="eastAsia" w:ascii="楷体_GB2312" w:hAnsi="微软雅黑" w:eastAsia="楷体_GB2312"/>
          <w:b/>
          <w:sz w:val="32"/>
          <w:szCs w:val="32"/>
        </w:rPr>
      </w:pPr>
      <w:r>
        <w:rPr>
          <w:rFonts w:hint="eastAsia" w:ascii="楷体_GB2312" w:hAnsi="微软雅黑" w:eastAsia="楷体_GB2312"/>
          <w:b/>
          <w:sz w:val="32"/>
          <w:szCs w:val="32"/>
        </w:rPr>
        <w:t>（二）全方位开展普法宣传工作</w:t>
      </w:r>
    </w:p>
    <w:p w14:paraId="69B10F80">
      <w:pPr>
        <w:spacing w:line="600" w:lineRule="exact"/>
        <w:ind w:firstLine="640" w:firstLineChars="200"/>
        <w:rPr>
          <w:rFonts w:hint="eastAsia" w:ascii="仿宋_GB2312" w:hAnsi="宋体" w:eastAsia="仿宋_GB2312" w:cs="宋体"/>
          <w:sz w:val="32"/>
          <w:szCs w:val="32"/>
        </w:rPr>
      </w:pPr>
      <w:r>
        <w:rPr>
          <w:rFonts w:hint="eastAsia" w:ascii="仿宋_GB2312" w:eastAsia="仿宋_GB2312"/>
          <w:sz w:val="32"/>
          <w:szCs w:val="32"/>
          <w:shd w:val="clear" w:color="auto" w:fill="FFFFFF"/>
        </w:rPr>
        <w:t>不断创新普法形式，丰富宣传载体，拓展宣传平台，精选法治民政内容，深化开展普法宣传教育，学习宣传</w:t>
      </w:r>
      <w:r>
        <w:rPr>
          <w:rFonts w:hint="eastAsia" w:ascii="仿宋_GB2312" w:eastAsia="仿宋_GB2312"/>
          <w:sz w:val="32"/>
          <w:szCs w:val="32"/>
        </w:rPr>
        <w:t>《中华人民共和国宪法》《中华人民共和国民法典》</w:t>
      </w:r>
      <w:r>
        <w:rPr>
          <w:rFonts w:hint="eastAsia" w:ascii="仿宋_GB2312" w:eastAsia="仿宋_GB2312"/>
          <w:bCs/>
          <w:sz w:val="32"/>
          <w:szCs w:val="32"/>
        </w:rPr>
        <w:t>《城乡居民最低生活保障条例》</w:t>
      </w:r>
      <w:r>
        <w:rPr>
          <w:rFonts w:hint="eastAsia" w:ascii="仿宋_GB2312" w:hAnsi="仿宋_GB2312" w:eastAsia="仿宋_GB2312" w:cs="仿宋_GB2312"/>
          <w:sz w:val="32"/>
          <w:szCs w:val="32"/>
        </w:rPr>
        <w:t>《社会救助暂行办法》</w:t>
      </w:r>
      <w:r>
        <w:rPr>
          <w:rFonts w:hint="eastAsia" w:ascii="仿宋_GB2312" w:eastAsia="仿宋_GB2312"/>
          <w:sz w:val="32"/>
          <w:szCs w:val="32"/>
        </w:rPr>
        <w:t>《中华人民共和国未成年人保护法》《中华人民共和国慈善法》</w:t>
      </w:r>
      <w:r>
        <w:rPr>
          <w:rFonts w:hint="eastAsia" w:ascii="仿宋_GB2312" w:eastAsia="仿宋_GB2312"/>
          <w:bCs/>
          <w:sz w:val="32"/>
          <w:szCs w:val="32"/>
        </w:rPr>
        <w:t>《社会福利机构管理暂行办法》《老年人权益保护法》《社会团体登记管理条例》《行政区域界线管理条例》《殡葬管理条例》等法律法规</w:t>
      </w:r>
      <w:r>
        <w:rPr>
          <w:rFonts w:hint="eastAsia"/>
        </w:rPr>
        <w:t>。</w:t>
      </w:r>
      <w:r>
        <w:rPr>
          <w:rFonts w:hint="eastAsia" w:ascii="仿宋_GB2312" w:eastAsia="仿宋_GB2312"/>
          <w:sz w:val="32"/>
          <w:szCs w:val="32"/>
          <w:shd w:val="clear" w:color="auto" w:fill="FFFFFF"/>
        </w:rPr>
        <w:t>特别是</w:t>
      </w:r>
      <w:r>
        <w:rPr>
          <w:rFonts w:hint="eastAsia" w:ascii="仿宋_GB2312" w:eastAsia="仿宋_GB2312"/>
          <w:sz w:val="32"/>
          <w:szCs w:val="32"/>
        </w:rPr>
        <w:t>以“1</w:t>
      </w:r>
      <w:r>
        <w:rPr>
          <w:rFonts w:hint="eastAsia" w:ascii="仿宋_GB2312" w:hAnsi="宋体" w:eastAsia="仿宋_GB2312"/>
          <w:sz w:val="32"/>
          <w:szCs w:val="32"/>
        </w:rPr>
        <w:t>2·4</w:t>
      </w:r>
      <w:r>
        <w:rPr>
          <w:rFonts w:hint="eastAsia" w:ascii="仿宋_GB2312" w:eastAsia="仿宋_GB2312"/>
          <w:sz w:val="32"/>
          <w:szCs w:val="32"/>
        </w:rPr>
        <w:t>”国家宪法日系列宣传活动为契机，</w:t>
      </w:r>
      <w:r>
        <w:rPr>
          <w:rFonts w:hint="eastAsia" w:ascii="仿宋_GB2312" w:eastAsia="仿宋_GB2312"/>
          <w:sz w:val="32"/>
          <w:szCs w:val="32"/>
          <w:shd w:val="clear" w:color="auto" w:fill="FFFFFF"/>
        </w:rPr>
        <w:t>设置咨询宣传台等方式，工作人员向群众普及慈善事业、婚姻家庭、未成年人保护、老年人权益保障、社会救助、行政区域界线管理、流浪乞讨人员管理等民政领域与群众生活息息相关的法律法规知识，为在场群众解疑答惑，进一步增强群众法治观念及自我保护意识。</w:t>
      </w:r>
    </w:p>
    <w:p w14:paraId="2E39E92D">
      <w:pPr>
        <w:pStyle w:val="7"/>
        <w:shd w:val="clear" w:color="auto" w:fill="FFFFFF"/>
        <w:spacing w:before="0" w:beforeAutospacing="0" w:after="0" w:afterAutospacing="0" w:line="600" w:lineRule="exact"/>
        <w:ind w:firstLine="646"/>
        <w:rPr>
          <w:rFonts w:hint="eastAsia" w:ascii="黑体" w:hAnsi="黑体" w:eastAsia="黑体"/>
          <w:sz w:val="32"/>
          <w:szCs w:val="32"/>
        </w:rPr>
      </w:pPr>
      <w:r>
        <w:rPr>
          <w:rFonts w:hint="eastAsia" w:ascii="黑体" w:hAnsi="黑体" w:eastAsia="黑体"/>
          <w:sz w:val="32"/>
          <w:szCs w:val="32"/>
        </w:rPr>
        <w:t>七、存在的问题与不足</w:t>
      </w:r>
    </w:p>
    <w:p w14:paraId="19C2EC7D">
      <w:pPr>
        <w:pStyle w:val="7"/>
        <w:shd w:val="clear" w:color="auto" w:fill="FFFFFF"/>
        <w:spacing w:before="0" w:beforeAutospacing="0" w:after="0" w:afterAutospacing="0" w:line="600" w:lineRule="exact"/>
        <w:ind w:firstLine="646"/>
        <w:rPr>
          <w:rFonts w:hint="eastAsia" w:ascii="仿宋_GB2312" w:hAnsi="微软雅黑" w:eastAsia="仿宋_GB2312"/>
          <w:sz w:val="32"/>
          <w:szCs w:val="32"/>
        </w:rPr>
      </w:pPr>
      <w:r>
        <w:rPr>
          <w:rFonts w:hint="eastAsia" w:ascii="仿宋_GB2312" w:hAnsi="微软雅黑" w:eastAsia="仿宋_GB2312"/>
          <w:sz w:val="32"/>
          <w:szCs w:val="32"/>
        </w:rPr>
        <w:t>一是我局法治政府建设体制机制还有待进一步建立健全；二是我局法治政府建设宣传氛围营造力度有待进一步增强；三是我局专业法律技能型人才缺乏，还有待进一步充实壮大。</w:t>
      </w:r>
    </w:p>
    <w:p w14:paraId="1F78D04C">
      <w:pPr>
        <w:pStyle w:val="7"/>
        <w:shd w:val="clear" w:color="auto" w:fill="FFFFFF"/>
        <w:spacing w:before="0" w:beforeAutospacing="0" w:after="0" w:afterAutospacing="0" w:line="600" w:lineRule="exact"/>
        <w:ind w:firstLine="648"/>
        <w:rPr>
          <w:rFonts w:hint="eastAsia" w:ascii="黑体" w:hAnsi="黑体" w:eastAsia="黑体"/>
          <w:sz w:val="32"/>
          <w:szCs w:val="32"/>
        </w:rPr>
      </w:pPr>
      <w:r>
        <w:rPr>
          <w:rFonts w:hint="eastAsia" w:ascii="黑体" w:hAnsi="黑体" w:eastAsia="黑体"/>
          <w:sz w:val="32"/>
          <w:szCs w:val="32"/>
        </w:rPr>
        <w:t>八、下一步的工作打算</w:t>
      </w:r>
    </w:p>
    <w:p w14:paraId="305A585B">
      <w:pPr>
        <w:pStyle w:val="7"/>
        <w:shd w:val="clear" w:color="auto" w:fill="FFFFFF"/>
        <w:spacing w:before="0" w:beforeAutospacing="0" w:after="0" w:afterAutospacing="0" w:line="600" w:lineRule="exact"/>
        <w:ind w:firstLine="646"/>
        <w:rPr>
          <w:rFonts w:hint="eastAsia" w:ascii="楷体_GB2312" w:hAnsi="黑体" w:eastAsia="楷体_GB2312"/>
          <w:b/>
          <w:sz w:val="32"/>
          <w:szCs w:val="32"/>
        </w:rPr>
      </w:pPr>
      <w:r>
        <w:rPr>
          <w:rFonts w:hint="eastAsia" w:ascii="楷体_GB2312" w:hAnsi="黑体" w:eastAsia="楷体_GB2312"/>
          <w:b/>
          <w:sz w:val="32"/>
          <w:szCs w:val="32"/>
        </w:rPr>
        <w:t>（一）着力推动系统性法治创建活动</w:t>
      </w:r>
    </w:p>
    <w:p w14:paraId="033E0035">
      <w:pPr>
        <w:pStyle w:val="7"/>
        <w:shd w:val="clear" w:color="auto" w:fill="FFFFFF"/>
        <w:spacing w:before="0" w:beforeAutospacing="0" w:after="0" w:afterAutospacing="0" w:line="600" w:lineRule="exact"/>
        <w:ind w:firstLine="646"/>
        <w:rPr>
          <w:rFonts w:hint="eastAsia" w:ascii="仿宋_GB2312" w:hAnsi="黑体" w:eastAsia="仿宋_GB2312"/>
          <w:sz w:val="32"/>
          <w:szCs w:val="32"/>
        </w:rPr>
      </w:pPr>
      <w:r>
        <w:rPr>
          <w:rFonts w:hint="eastAsia" w:ascii="仿宋_GB2312" w:hAnsi="黑体" w:eastAsia="仿宋_GB2312"/>
          <w:sz w:val="32"/>
          <w:szCs w:val="32"/>
        </w:rPr>
        <w:t>积极培树基层法治建设先进典型，不断挖掘基层法治建设的生动事迹和鲜活经验，典型引路、以点带面、逐步推进，在全系统营造“学法、懂法、守法、用法”的良好氛围。</w:t>
      </w:r>
    </w:p>
    <w:p w14:paraId="60A266BB">
      <w:pPr>
        <w:pStyle w:val="7"/>
        <w:shd w:val="clear" w:color="auto" w:fill="FFFFFF"/>
        <w:spacing w:before="0" w:beforeAutospacing="0" w:after="0" w:afterAutospacing="0" w:line="600" w:lineRule="exact"/>
        <w:ind w:firstLine="646"/>
        <w:rPr>
          <w:rFonts w:hint="eastAsia" w:ascii="楷体_GB2312" w:hAnsi="黑体" w:eastAsia="楷体_GB2312"/>
          <w:b/>
          <w:sz w:val="32"/>
          <w:szCs w:val="32"/>
        </w:rPr>
      </w:pPr>
      <w:r>
        <w:rPr>
          <w:rFonts w:hint="eastAsia" w:ascii="楷体_GB2312" w:hAnsi="黑体" w:eastAsia="楷体_GB2312"/>
          <w:b/>
          <w:sz w:val="32"/>
          <w:szCs w:val="32"/>
        </w:rPr>
        <w:t>（二）切实做好法治建设先进典型的宣传报道</w:t>
      </w:r>
    </w:p>
    <w:p w14:paraId="27FD3C20">
      <w:pPr>
        <w:pStyle w:val="7"/>
        <w:shd w:val="clear" w:color="auto" w:fill="FFFFFF"/>
        <w:spacing w:before="0" w:beforeAutospacing="0" w:after="0" w:afterAutospacing="0" w:line="600" w:lineRule="exact"/>
        <w:ind w:firstLine="646"/>
        <w:rPr>
          <w:rFonts w:hint="eastAsia" w:ascii="仿宋_GB2312" w:hAnsi="黑体" w:eastAsia="仿宋_GB2312"/>
          <w:sz w:val="32"/>
          <w:szCs w:val="32"/>
        </w:rPr>
      </w:pPr>
      <w:r>
        <w:rPr>
          <w:rFonts w:hint="eastAsia" w:ascii="仿宋_GB2312" w:hAnsi="黑体" w:eastAsia="仿宋_GB2312"/>
          <w:sz w:val="32"/>
          <w:szCs w:val="32"/>
        </w:rPr>
        <w:t>结合日常指导、会议、培训等工作，加强对典型人物的学习宣传。积极开展“12.4”宪法宣传主题活动，在全县民政系统辖区内开展“宪法宣传”专项活动，加深民政工作人员对宪法、民法典等法律法规的了解。</w:t>
      </w:r>
    </w:p>
    <w:p w14:paraId="46807825">
      <w:pPr>
        <w:pStyle w:val="7"/>
        <w:shd w:val="clear" w:color="auto" w:fill="FFFFFF"/>
        <w:spacing w:before="0" w:beforeAutospacing="0" w:after="0" w:afterAutospacing="0" w:line="600" w:lineRule="exact"/>
        <w:ind w:firstLine="640" w:firstLineChars="200"/>
        <w:rPr>
          <w:rFonts w:hint="eastAsia" w:ascii="仿宋_GB2312" w:hAnsi="微软雅黑" w:eastAsia="仿宋_GB2312"/>
          <w:sz w:val="32"/>
          <w:szCs w:val="32"/>
        </w:rPr>
      </w:pPr>
      <w:r>
        <w:rPr>
          <w:rFonts w:hint="eastAsia" w:ascii="仿宋_GB2312" w:hAnsi="黑体" w:eastAsia="仿宋_GB2312"/>
          <w:sz w:val="32"/>
          <w:szCs w:val="32"/>
        </w:rPr>
        <w:t>2025年，我局决心继续把维护人民权益作为根本出发点和落脚点，以更加扎实有力的举措抓好法治建设。坚决依法行政，进一步提高各类矛盾纠纷排查调处工作水平，确保从源头上化解社会矛盾，进一步加强防控能力建设，进一步推进法治建设，切实推动我县民政工作上台阶、上水平，</w:t>
      </w:r>
      <w:r>
        <w:rPr>
          <w:rFonts w:hint="eastAsia" w:ascii="仿宋_GB2312" w:hAnsi="微软雅黑" w:eastAsia="仿宋_GB2312"/>
          <w:sz w:val="32"/>
          <w:szCs w:val="32"/>
        </w:rPr>
        <w:t>为建设法治民政奠定良好的法治保障。</w:t>
      </w:r>
    </w:p>
    <w:p w14:paraId="4AB7EDE3">
      <w:pPr>
        <w:pStyle w:val="7"/>
        <w:shd w:val="clear" w:color="auto" w:fill="FFFFFF"/>
        <w:spacing w:before="0" w:beforeAutospacing="0" w:after="0" w:afterAutospacing="0" w:line="600" w:lineRule="exact"/>
        <w:rPr>
          <w:rFonts w:hint="eastAsia" w:ascii="仿宋_GB2312" w:hAnsi="微软雅黑" w:eastAsia="仿宋_GB2312"/>
          <w:sz w:val="32"/>
          <w:szCs w:val="32"/>
        </w:rPr>
      </w:pPr>
    </w:p>
    <w:p w14:paraId="210C417A">
      <w:pPr>
        <w:pStyle w:val="7"/>
        <w:shd w:val="clear" w:color="auto" w:fill="FFFFFF"/>
        <w:spacing w:before="0" w:beforeAutospacing="0" w:after="0" w:afterAutospacing="0" w:line="600" w:lineRule="exact"/>
        <w:rPr>
          <w:rFonts w:hint="eastAsia" w:ascii="仿宋_GB2312" w:hAnsi="微软雅黑" w:eastAsia="仿宋_GB2312"/>
          <w:sz w:val="32"/>
          <w:szCs w:val="32"/>
        </w:rPr>
      </w:pPr>
    </w:p>
    <w:p w14:paraId="43C1F13F">
      <w:pPr>
        <w:pStyle w:val="7"/>
        <w:shd w:val="clear" w:color="auto" w:fill="FFFFFF"/>
        <w:spacing w:before="0" w:beforeAutospacing="0" w:after="0" w:afterAutospacing="0" w:line="600" w:lineRule="exact"/>
        <w:jc w:val="center"/>
        <w:rPr>
          <w:rFonts w:hint="eastAsia" w:ascii="仿宋_GB2312" w:hAnsi="微软雅黑" w:eastAsia="仿宋_GB2312"/>
          <w:sz w:val="32"/>
          <w:szCs w:val="32"/>
        </w:rPr>
      </w:pPr>
      <w:r>
        <w:rPr>
          <w:rFonts w:hint="eastAsia" w:ascii="仿宋_GB2312" w:hAnsi="微软雅黑" w:eastAsia="仿宋_GB2312"/>
          <w:sz w:val="32"/>
          <w:szCs w:val="32"/>
        </w:rPr>
        <w:t xml:space="preserve">                              安溪县民政局</w:t>
      </w:r>
    </w:p>
    <w:p w14:paraId="4B93F318">
      <w:pPr>
        <w:spacing w:line="600" w:lineRule="exact"/>
        <w:ind w:right="640"/>
        <w:jc w:val="right"/>
        <w:rPr>
          <w:rFonts w:hint="eastAsia" w:ascii="仿宋_GB2312" w:eastAsia="仿宋_GB2312"/>
          <w:sz w:val="32"/>
          <w:szCs w:val="32"/>
        </w:rPr>
      </w:pPr>
      <w:r>
        <w:rPr>
          <w:rFonts w:hint="eastAsia" w:ascii="仿宋_GB2312" w:eastAsia="仿宋_GB2312"/>
          <w:sz w:val="32"/>
          <w:szCs w:val="32"/>
        </w:rPr>
        <w:t>2025年2月27日</w:t>
      </w:r>
    </w:p>
    <w:p w14:paraId="147AFB95">
      <w:pPr>
        <w:ind w:right="16"/>
        <w:rPr>
          <w:rFonts w:hint="eastAsia" w:ascii="仿宋_GB2312" w:hAnsi="宋体" w:eastAsia="仿宋_GB2312"/>
          <w:sz w:val="32"/>
          <w:szCs w:val="32"/>
        </w:rPr>
      </w:pPr>
    </w:p>
    <w:p w14:paraId="69FFB5B5">
      <w:pPr>
        <w:ind w:right="16"/>
        <w:rPr>
          <w:rFonts w:hint="eastAsia" w:ascii="仿宋_GB2312" w:hAnsi="宋体" w:eastAsia="仿宋_GB2312"/>
          <w:sz w:val="32"/>
          <w:szCs w:val="32"/>
        </w:rPr>
      </w:pPr>
    </w:p>
    <w:p w14:paraId="06B91E80">
      <w:pPr>
        <w:ind w:right="16"/>
        <w:rPr>
          <w:rFonts w:hint="eastAsia" w:ascii="仿宋_GB2312" w:hAnsi="宋体" w:eastAsia="仿宋_GB2312"/>
          <w:sz w:val="32"/>
          <w:szCs w:val="32"/>
        </w:rPr>
      </w:pPr>
    </w:p>
    <w:p w14:paraId="5C209F95">
      <w:pPr>
        <w:ind w:right="16"/>
        <w:rPr>
          <w:rFonts w:hint="eastAsia" w:ascii="仿宋_GB2312" w:hAnsi="宋体" w:eastAsia="仿宋_GB2312"/>
          <w:sz w:val="32"/>
          <w:szCs w:val="32"/>
        </w:rPr>
      </w:pPr>
    </w:p>
    <w:p w14:paraId="47D175B1">
      <w:pPr>
        <w:ind w:right="16"/>
        <w:rPr>
          <w:rFonts w:hint="eastAsia" w:ascii="仿宋_GB2312" w:hAnsi="宋体" w:eastAsia="仿宋_GB2312"/>
          <w:sz w:val="32"/>
          <w:szCs w:val="32"/>
        </w:rPr>
      </w:pPr>
    </w:p>
    <w:p w14:paraId="64339DB9">
      <w:pPr>
        <w:ind w:right="16"/>
        <w:rPr>
          <w:rFonts w:hint="eastAsia" w:ascii="仿宋_GB2312" w:hAnsi="宋体" w:eastAsia="仿宋_GB2312"/>
          <w:sz w:val="32"/>
          <w:szCs w:val="32"/>
        </w:rPr>
      </w:pPr>
    </w:p>
    <w:p w14:paraId="578CCD1D">
      <w:pPr>
        <w:ind w:right="16"/>
        <w:rPr>
          <w:rFonts w:hint="eastAsia" w:ascii="仿宋_GB2312" w:hAnsi="宋体" w:eastAsia="仿宋_GB2312"/>
          <w:sz w:val="32"/>
          <w:szCs w:val="32"/>
        </w:rPr>
      </w:pPr>
    </w:p>
    <w:p w14:paraId="2C7A9EA2">
      <w:pPr>
        <w:ind w:right="16"/>
        <w:rPr>
          <w:rFonts w:hint="eastAsia" w:ascii="仿宋_GB2312" w:hAnsi="宋体" w:eastAsia="仿宋_GB2312"/>
          <w:sz w:val="32"/>
          <w:szCs w:val="32"/>
        </w:rPr>
      </w:pPr>
    </w:p>
    <w:p w14:paraId="3DB9BF06">
      <w:pPr>
        <w:ind w:right="16"/>
        <w:rPr>
          <w:rFonts w:hint="eastAsia" w:ascii="仿宋_GB2312" w:hAnsi="宋体" w:eastAsia="仿宋_GB2312"/>
          <w:sz w:val="32"/>
          <w:szCs w:val="32"/>
        </w:rPr>
      </w:pPr>
    </w:p>
    <w:p w14:paraId="57AEA188">
      <w:pPr>
        <w:ind w:right="16"/>
        <w:rPr>
          <w:rFonts w:hint="eastAsia" w:ascii="仿宋_GB2312" w:hAnsi="宋体" w:eastAsia="仿宋_GB2312"/>
          <w:sz w:val="32"/>
          <w:szCs w:val="32"/>
        </w:rPr>
      </w:pPr>
    </w:p>
    <w:p w14:paraId="1A2007C7">
      <w:pPr>
        <w:ind w:right="16"/>
        <w:rPr>
          <w:rFonts w:hint="eastAsia" w:ascii="仿宋_GB2312" w:hAnsi="宋体" w:eastAsia="仿宋_GB2312"/>
          <w:sz w:val="32"/>
          <w:szCs w:val="32"/>
        </w:rPr>
      </w:pPr>
    </w:p>
    <w:p w14:paraId="1244E2BC">
      <w:pPr>
        <w:ind w:right="16"/>
        <w:rPr>
          <w:rFonts w:hint="eastAsia" w:ascii="仿宋_GB2312" w:hAnsi="宋体" w:eastAsia="仿宋_GB2312"/>
          <w:sz w:val="32"/>
          <w:szCs w:val="32"/>
        </w:rPr>
      </w:pPr>
    </w:p>
    <w:p w14:paraId="60C483EE">
      <w:pPr>
        <w:ind w:right="16"/>
        <w:rPr>
          <w:rFonts w:hint="eastAsia" w:ascii="仿宋_GB2312" w:hAnsi="宋体" w:eastAsia="仿宋_GB2312"/>
          <w:sz w:val="32"/>
          <w:szCs w:val="32"/>
        </w:rPr>
      </w:pPr>
    </w:p>
    <w:p w14:paraId="3C748C40">
      <w:pPr>
        <w:ind w:right="16"/>
        <w:rPr>
          <w:rFonts w:hint="eastAsia" w:ascii="仿宋_GB2312" w:hAnsi="宋体" w:eastAsia="仿宋_GB2312"/>
          <w:sz w:val="32"/>
          <w:szCs w:val="32"/>
        </w:rPr>
      </w:pPr>
    </w:p>
    <w:p w14:paraId="7B97154B">
      <w:pPr>
        <w:ind w:right="16"/>
        <w:rPr>
          <w:rFonts w:hint="eastAsia" w:ascii="仿宋_GB2312" w:hAnsi="宋体" w:eastAsia="仿宋_GB2312"/>
          <w:sz w:val="32"/>
          <w:szCs w:val="32"/>
        </w:rPr>
      </w:pPr>
    </w:p>
    <w:p w14:paraId="2B03BB4B">
      <w:pPr>
        <w:ind w:right="16"/>
        <w:rPr>
          <w:rFonts w:hint="eastAsia" w:ascii="仿宋_GB2312" w:hAnsi="宋体" w:eastAsia="仿宋_GB2312"/>
          <w:sz w:val="32"/>
          <w:szCs w:val="32"/>
        </w:rPr>
      </w:pPr>
    </w:p>
    <w:p w14:paraId="65F78747">
      <w:pPr>
        <w:ind w:right="16"/>
        <w:rPr>
          <w:rFonts w:hint="eastAsia" w:ascii="仿宋_GB2312" w:hAnsi="宋体" w:eastAsia="仿宋_GB2312"/>
          <w:sz w:val="32"/>
          <w:szCs w:val="32"/>
        </w:rPr>
      </w:pPr>
    </w:p>
    <w:p w14:paraId="4431E944">
      <w:pPr>
        <w:ind w:right="16"/>
        <w:rPr>
          <w:rFonts w:hint="eastAsia" w:ascii="仿宋_GB2312" w:hAnsi="宋体" w:eastAsia="仿宋_GB2312"/>
          <w:sz w:val="32"/>
          <w:szCs w:val="32"/>
        </w:rPr>
      </w:pPr>
    </w:p>
    <w:p w14:paraId="6CE3581F">
      <w:pPr>
        <w:ind w:right="16"/>
        <w:rPr>
          <w:rFonts w:hint="eastAsia" w:ascii="仿宋_GB2312" w:hAnsi="宋体" w:eastAsia="仿宋_GB2312"/>
          <w:sz w:val="32"/>
          <w:szCs w:val="32"/>
        </w:rPr>
      </w:pPr>
    </w:p>
    <w:p w14:paraId="1FC1692F">
      <w:pPr>
        <w:ind w:right="16"/>
        <w:rPr>
          <w:rFonts w:hint="eastAsia" w:ascii="仿宋_GB2312" w:hAnsi="宋体" w:eastAsia="仿宋_GB2312"/>
          <w:sz w:val="32"/>
          <w:szCs w:val="32"/>
        </w:rPr>
      </w:pPr>
    </w:p>
    <w:p w14:paraId="4A01F5C7">
      <w:pPr>
        <w:ind w:right="16"/>
        <w:rPr>
          <w:rFonts w:hint="eastAsia" w:ascii="仿宋_GB2312" w:hAnsi="宋体" w:eastAsia="仿宋_GB2312"/>
          <w:sz w:val="32"/>
          <w:szCs w:val="32"/>
        </w:rPr>
      </w:pPr>
    </w:p>
    <w:p w14:paraId="536BB0AC">
      <w:pPr>
        <w:ind w:right="16"/>
        <w:rPr>
          <w:rFonts w:hint="eastAsia" w:ascii="仿宋_GB2312" w:hAnsi="宋体" w:eastAsia="仿宋_GB2312"/>
          <w:sz w:val="32"/>
          <w:szCs w:val="32"/>
        </w:rPr>
      </w:pPr>
    </w:p>
    <w:p w14:paraId="67AED45B">
      <w:pPr>
        <w:ind w:right="16"/>
        <w:rPr>
          <w:rFonts w:hint="eastAsia" w:ascii="仿宋_GB2312" w:hAnsi="宋体" w:eastAsia="仿宋_GB2312"/>
          <w:sz w:val="32"/>
          <w:szCs w:val="32"/>
        </w:rPr>
      </w:pPr>
    </w:p>
    <w:p w14:paraId="6FC3AA1D">
      <w:pPr>
        <w:ind w:right="16"/>
        <w:rPr>
          <w:rFonts w:hint="eastAsia" w:ascii="仿宋_GB2312" w:hAnsi="宋体" w:eastAsia="仿宋_GB2312"/>
          <w:sz w:val="32"/>
          <w:szCs w:val="32"/>
        </w:rPr>
      </w:pPr>
    </w:p>
    <w:p w14:paraId="2AEAADCB">
      <w:pPr>
        <w:ind w:right="16"/>
        <w:rPr>
          <w:rFonts w:hint="eastAsia" w:ascii="仿宋_GB2312" w:hAnsi="宋体" w:eastAsia="仿宋_GB2312"/>
          <w:sz w:val="32"/>
          <w:szCs w:val="32"/>
        </w:rPr>
      </w:pPr>
    </w:p>
    <w:p w14:paraId="132E5AFA">
      <w:pPr>
        <w:ind w:right="16"/>
        <w:rPr>
          <w:rFonts w:hint="eastAsia" w:ascii="仿宋_GB2312" w:hAnsi="宋体" w:eastAsia="仿宋_GB2312"/>
          <w:sz w:val="32"/>
          <w:szCs w:val="32"/>
        </w:rPr>
      </w:pPr>
    </w:p>
    <w:p w14:paraId="3FA7584B">
      <w:pPr>
        <w:ind w:right="16"/>
        <w:rPr>
          <w:rFonts w:hint="eastAsia" w:ascii="仿宋_GB2312" w:hAnsi="宋体" w:eastAsia="仿宋_GB2312"/>
          <w:sz w:val="32"/>
          <w:szCs w:val="32"/>
        </w:rPr>
      </w:pPr>
    </w:p>
    <w:p w14:paraId="1186555B">
      <w:pPr>
        <w:ind w:right="16"/>
        <w:rPr>
          <w:rFonts w:hint="eastAsia" w:ascii="仿宋_GB2312" w:hAnsi="宋体" w:eastAsia="仿宋_GB2312"/>
          <w:sz w:val="32"/>
          <w:szCs w:val="32"/>
        </w:rPr>
      </w:pPr>
    </w:p>
    <w:p w14:paraId="2F4AF868">
      <w:pPr>
        <w:ind w:right="16"/>
        <w:rPr>
          <w:rFonts w:hint="eastAsia" w:ascii="仿宋_GB2312" w:hAnsi="宋体" w:eastAsia="仿宋_GB2312"/>
          <w:sz w:val="32"/>
          <w:szCs w:val="32"/>
        </w:rPr>
      </w:pPr>
    </w:p>
    <w:p w14:paraId="7CB43AA0">
      <w:pPr>
        <w:ind w:right="16"/>
        <w:rPr>
          <w:rFonts w:hint="eastAsia" w:ascii="仿宋_GB2312" w:hAnsi="宋体" w:eastAsia="仿宋_GB2312"/>
          <w:sz w:val="32"/>
          <w:szCs w:val="32"/>
        </w:rPr>
      </w:pPr>
    </w:p>
    <w:p w14:paraId="5A90E1DC">
      <w:pPr>
        <w:ind w:right="16" w:firstLine="280" w:firstLineChars="100"/>
        <w:rPr>
          <w:rFonts w:hint="eastAsia" w:ascii="仿宋_GB2312" w:hAnsi="宋体" w:eastAsia="仿宋_GB2312"/>
          <w:sz w:val="28"/>
          <w:szCs w:val="28"/>
        </w:rPr>
      </w:pPr>
      <w:r>
        <w:rPr>
          <w:rFonts w:hint="eastAsia" w:ascii="仿宋_GB2312" w:hAnsi="宋体" w:eastAsia="仿宋_GB2312"/>
          <w:sz w:val="28"/>
          <w:szCs w:val="28"/>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67350" cy="0"/>
                <wp:effectExtent l="0" t="4445" r="0" b="5080"/>
                <wp:wrapNone/>
                <wp:docPr id="3" name="直线 13"/>
                <wp:cNvGraphicFramePr/>
                <a:graphic xmlns:a="http://schemas.openxmlformats.org/drawingml/2006/main">
                  <a:graphicData uri="http://schemas.microsoft.com/office/word/2010/wordprocessingShape">
                    <wps:wsp>
                      <wps:cNvSpPr/>
                      <wps:spPr>
                        <a:xfrm>
                          <a:off x="0" y="0"/>
                          <a:ext cx="54673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0pt;height:0pt;width:430.5pt;z-index:251661312;mso-width-relative:page;mso-height-relative:page;" filled="f" stroked="t" coordsize="21600,21600" o:gfxdata="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eBIi7QAAAAAgEA&#10;AA8AAAAAAAAAAQAgAAAAIgAAAGRycy9kb3ducmV2LnhtbFBLAQIUABQAAAAIAIdO4kCYY9FL6QEA&#10;ANwDAAAOAAAAAAAAAAEAIAAAAB8BAABkcnMvZTJvRG9jLnhtbFBLBQYAAAAABgAGAFkBAAB6BQAA&#10;AAA=&#10;">
                <v:fill on="f" focussize="0,0"/>
                <v:stroke color="#000000" joinstyle="round"/>
                <v:imagedata o:title=""/>
                <o:lock v:ext="edit" aspectratio="f"/>
              </v:line>
            </w:pict>
          </mc:Fallback>
        </mc:AlternateContent>
      </w:r>
      <w:r>
        <w:rPr>
          <w:rFonts w:hint="eastAsia" w:ascii="仿宋_GB2312" w:hAnsi="宋体" w:eastAsia="仿宋_GB2312"/>
          <w:sz w:val="28"/>
          <w:szCs w:val="28"/>
        </w:rPr>
        <w:t>抄送：县委依法治县办。</w:t>
      </w:r>
    </w:p>
    <w:p w14:paraId="29445138">
      <w:pPr>
        <w:ind w:firstLine="320" w:firstLineChars="100"/>
        <w:rPr>
          <w:rFonts w:hint="eastAsia" w:ascii="仿宋_GB2312" w:hAnsi="宋体" w:eastAsia="仿宋_GB2312"/>
          <w:sz w:val="28"/>
          <w:szCs w:val="28"/>
        </w:rPr>
      </w:pPr>
      <w:r>
        <w:rPr>
          <w:rFonts w:hint="eastAsia" w:ascii="仿宋_GB2312" w:hAnsi="宋体" w:eastAsia="仿宋_GB2312"/>
          <w:sz w:val="32"/>
          <w:szCs w:val="32"/>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5467350" cy="0"/>
                <wp:effectExtent l="0" t="4445" r="0" b="5080"/>
                <wp:wrapNone/>
                <wp:docPr id="1" name="直线 4"/>
                <wp:cNvGraphicFramePr/>
                <a:graphic xmlns:a="http://schemas.openxmlformats.org/drawingml/2006/main">
                  <a:graphicData uri="http://schemas.microsoft.com/office/word/2010/wordprocessingShape">
                    <wps:wsp>
                      <wps:cNvSpPr/>
                      <wps:spPr>
                        <a:xfrm>
                          <a:off x="0" y="0"/>
                          <a:ext cx="54673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1pt;height:0pt;width:430.5pt;z-index:251659264;mso-width-relative:page;mso-height-relative:page;" filled="f" stroked="t" coordsize="21600,21600" o:gfxdata="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zRNU0gAAAAQB&#10;AAAPAAAAAAAAAAEAIAAAACIAAABkcnMvZG93bnJldi54bWxQSwECFAAUAAAACACHTuJAFDOW+OgB&#10;AADb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hAnsi="宋体" w:eastAsia="仿宋_GB2312"/>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400050</wp:posOffset>
                </wp:positionV>
                <wp:extent cx="5534025" cy="0"/>
                <wp:effectExtent l="0" t="4445" r="0" b="5080"/>
                <wp:wrapNone/>
                <wp:docPr id="2" name="直线 7"/>
                <wp:cNvGraphicFramePr/>
                <a:graphic xmlns:a="http://schemas.openxmlformats.org/drawingml/2006/main">
                  <a:graphicData uri="http://schemas.microsoft.com/office/word/2010/wordprocessingShape">
                    <wps:wsp>
                      <wps:cNvSpPr/>
                      <wps:spPr>
                        <a:xfrm>
                          <a:off x="0" y="0"/>
                          <a:ext cx="5534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31.5pt;height:0pt;width:435.75pt;z-index:251660288;mso-width-relative:page;mso-height-relative:page;" filled="f" stroked="t" coordsize="21600,21600" o:gfxdata="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y25y1AAAAAYB&#10;AAAPAAAAAAAAAAEAIAAAACIAAABkcnMvZG93bnJldi54bWxQSwECFAAUAAAACACHTuJAyIRAUeYB&#10;AADbAwAADgAAAAAAAAABACAAAAAjAQAAZHJzL2Uyb0RvYy54bWxQSwUGAAAAAAYABgBZAQAAewUA&#10;AAAA&#10;">
                <v:fill on="f" focussize="0,0"/>
                <v:stroke color="#000000" joinstyle="round"/>
                <v:imagedata o:title=""/>
                <o:lock v:ext="edit" aspectratio="f"/>
              </v:line>
            </w:pict>
          </mc:Fallback>
        </mc:AlternateContent>
      </w:r>
      <w:r>
        <w:rPr>
          <w:rFonts w:hint="eastAsia" w:ascii="仿宋_GB2312" w:hAnsi="宋体" w:eastAsia="仿宋_GB2312"/>
          <w:sz w:val="28"/>
          <w:szCs w:val="28"/>
        </w:rPr>
        <w:t>安溪县民政局办公室                    2025年2月27日印发</w:t>
      </w:r>
    </w:p>
    <w:sectPr>
      <w:footerReference r:id="rId3" w:type="default"/>
      <w:footerReference r:id="rId4" w:type="even"/>
      <w:pgSz w:w="11907" w:h="16840"/>
      <w:pgMar w:top="1701" w:right="1588" w:bottom="1701" w:left="1588" w:header="851" w:footer="992" w:gutter="0"/>
      <w:cols w:space="425" w:num="1"/>
      <w:titlePg/>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B9E4">
    <w:pPr>
      <w:pStyle w:val="5"/>
      <w:framePr w:wrap="around" w:vAnchor="text" w:hAnchor="margin" w:xAlign="outside" w:y="1"/>
      <w:rPr>
        <w:rStyle w:val="10"/>
        <w:rFonts w:hint="eastAsia"/>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lang/>
      </w:rPr>
      <w:t>2</w:t>
    </w:r>
    <w:r>
      <w:rPr>
        <w:rStyle w:val="10"/>
        <w:sz w:val="28"/>
        <w:szCs w:val="28"/>
      </w:rPr>
      <w:fldChar w:fldCharType="end"/>
    </w:r>
    <w:r>
      <w:rPr>
        <w:rStyle w:val="10"/>
        <w:rFonts w:hint="eastAsia"/>
        <w:sz w:val="28"/>
        <w:szCs w:val="28"/>
      </w:rPr>
      <w:t xml:space="preserve"> —</w:t>
    </w:r>
  </w:p>
  <w:p w14:paraId="4B71F17F">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4A38C">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65EC9CE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EE"/>
    <w:rsid w:val="000013CC"/>
    <w:rsid w:val="00014C64"/>
    <w:rsid w:val="00026275"/>
    <w:rsid w:val="00042B0C"/>
    <w:rsid w:val="000601EC"/>
    <w:rsid w:val="000641F0"/>
    <w:rsid w:val="000724BB"/>
    <w:rsid w:val="0008547D"/>
    <w:rsid w:val="000970E4"/>
    <w:rsid w:val="000A1D66"/>
    <w:rsid w:val="000A781A"/>
    <w:rsid w:val="000A7ACB"/>
    <w:rsid w:val="000D18AD"/>
    <w:rsid w:val="000E7850"/>
    <w:rsid w:val="000F6489"/>
    <w:rsid w:val="00102DC6"/>
    <w:rsid w:val="001064D5"/>
    <w:rsid w:val="00112C1C"/>
    <w:rsid w:val="001271F4"/>
    <w:rsid w:val="001310BB"/>
    <w:rsid w:val="001330DB"/>
    <w:rsid w:val="001367C4"/>
    <w:rsid w:val="001543BF"/>
    <w:rsid w:val="00161E3C"/>
    <w:rsid w:val="001635CF"/>
    <w:rsid w:val="001657E9"/>
    <w:rsid w:val="00166123"/>
    <w:rsid w:val="00170475"/>
    <w:rsid w:val="00172EF9"/>
    <w:rsid w:val="00180DC9"/>
    <w:rsid w:val="00194C1A"/>
    <w:rsid w:val="001A0CED"/>
    <w:rsid w:val="001A5F75"/>
    <w:rsid w:val="001B679D"/>
    <w:rsid w:val="001C243F"/>
    <w:rsid w:val="001C7851"/>
    <w:rsid w:val="001D3589"/>
    <w:rsid w:val="001E0A42"/>
    <w:rsid w:val="001E27BA"/>
    <w:rsid w:val="001F0365"/>
    <w:rsid w:val="001F2865"/>
    <w:rsid w:val="0021718C"/>
    <w:rsid w:val="00233468"/>
    <w:rsid w:val="002428F3"/>
    <w:rsid w:val="0024455B"/>
    <w:rsid w:val="00253F13"/>
    <w:rsid w:val="00256EF0"/>
    <w:rsid w:val="00260FF6"/>
    <w:rsid w:val="00264660"/>
    <w:rsid w:val="00265FDA"/>
    <w:rsid w:val="00266458"/>
    <w:rsid w:val="0026709F"/>
    <w:rsid w:val="002828C1"/>
    <w:rsid w:val="00282F6C"/>
    <w:rsid w:val="00285974"/>
    <w:rsid w:val="002923BA"/>
    <w:rsid w:val="002A6CEE"/>
    <w:rsid w:val="002C394B"/>
    <w:rsid w:val="002E74DD"/>
    <w:rsid w:val="002F0765"/>
    <w:rsid w:val="002F7BA5"/>
    <w:rsid w:val="003011A6"/>
    <w:rsid w:val="003213AE"/>
    <w:rsid w:val="00333F8C"/>
    <w:rsid w:val="00336AE8"/>
    <w:rsid w:val="00354AD5"/>
    <w:rsid w:val="00361522"/>
    <w:rsid w:val="00371736"/>
    <w:rsid w:val="003723E7"/>
    <w:rsid w:val="00375B54"/>
    <w:rsid w:val="003819C2"/>
    <w:rsid w:val="003B2D0B"/>
    <w:rsid w:val="003B5523"/>
    <w:rsid w:val="003B7244"/>
    <w:rsid w:val="003C1117"/>
    <w:rsid w:val="003C3CB9"/>
    <w:rsid w:val="003E1C3A"/>
    <w:rsid w:val="00423BE4"/>
    <w:rsid w:val="00431A96"/>
    <w:rsid w:val="004374D5"/>
    <w:rsid w:val="00443228"/>
    <w:rsid w:val="00476F4A"/>
    <w:rsid w:val="0048015E"/>
    <w:rsid w:val="00483A6A"/>
    <w:rsid w:val="004A784E"/>
    <w:rsid w:val="004F613C"/>
    <w:rsid w:val="004F6C57"/>
    <w:rsid w:val="0051165D"/>
    <w:rsid w:val="0052594E"/>
    <w:rsid w:val="00531A59"/>
    <w:rsid w:val="005460C2"/>
    <w:rsid w:val="00562015"/>
    <w:rsid w:val="005638DD"/>
    <w:rsid w:val="005655B1"/>
    <w:rsid w:val="0057302F"/>
    <w:rsid w:val="0057578F"/>
    <w:rsid w:val="005A3220"/>
    <w:rsid w:val="005B2777"/>
    <w:rsid w:val="005B6AE9"/>
    <w:rsid w:val="005D0CBA"/>
    <w:rsid w:val="005D1872"/>
    <w:rsid w:val="005F09FB"/>
    <w:rsid w:val="005F1D19"/>
    <w:rsid w:val="005F2125"/>
    <w:rsid w:val="005F2151"/>
    <w:rsid w:val="006110C3"/>
    <w:rsid w:val="006134E3"/>
    <w:rsid w:val="0062184D"/>
    <w:rsid w:val="00633248"/>
    <w:rsid w:val="00633A27"/>
    <w:rsid w:val="00634412"/>
    <w:rsid w:val="006405C0"/>
    <w:rsid w:val="0064175E"/>
    <w:rsid w:val="006571EF"/>
    <w:rsid w:val="00672CD9"/>
    <w:rsid w:val="00674A11"/>
    <w:rsid w:val="006A20F9"/>
    <w:rsid w:val="006B00D2"/>
    <w:rsid w:val="006B3020"/>
    <w:rsid w:val="006C6702"/>
    <w:rsid w:val="006E09A8"/>
    <w:rsid w:val="006E7A0D"/>
    <w:rsid w:val="006F3EAE"/>
    <w:rsid w:val="00700B29"/>
    <w:rsid w:val="00700F31"/>
    <w:rsid w:val="00731CE6"/>
    <w:rsid w:val="00733EBB"/>
    <w:rsid w:val="007539B1"/>
    <w:rsid w:val="00753BF6"/>
    <w:rsid w:val="00760921"/>
    <w:rsid w:val="00771257"/>
    <w:rsid w:val="00771862"/>
    <w:rsid w:val="00775AB1"/>
    <w:rsid w:val="00775F40"/>
    <w:rsid w:val="00793D37"/>
    <w:rsid w:val="007A18F1"/>
    <w:rsid w:val="007A7896"/>
    <w:rsid w:val="007B625C"/>
    <w:rsid w:val="007C66E2"/>
    <w:rsid w:val="007D1694"/>
    <w:rsid w:val="007E6085"/>
    <w:rsid w:val="007E6433"/>
    <w:rsid w:val="007F10AA"/>
    <w:rsid w:val="00806D9F"/>
    <w:rsid w:val="008151A7"/>
    <w:rsid w:val="00834733"/>
    <w:rsid w:val="008420C1"/>
    <w:rsid w:val="00850D39"/>
    <w:rsid w:val="00867290"/>
    <w:rsid w:val="00885264"/>
    <w:rsid w:val="008A4CAB"/>
    <w:rsid w:val="008B41FA"/>
    <w:rsid w:val="008B439F"/>
    <w:rsid w:val="008D4FD5"/>
    <w:rsid w:val="00902118"/>
    <w:rsid w:val="0091656B"/>
    <w:rsid w:val="00925C2F"/>
    <w:rsid w:val="009308B9"/>
    <w:rsid w:val="009323E6"/>
    <w:rsid w:val="0094503E"/>
    <w:rsid w:val="0095410F"/>
    <w:rsid w:val="009617CA"/>
    <w:rsid w:val="00977E87"/>
    <w:rsid w:val="00995BF4"/>
    <w:rsid w:val="0099665E"/>
    <w:rsid w:val="00996C40"/>
    <w:rsid w:val="00997BEA"/>
    <w:rsid w:val="009A4651"/>
    <w:rsid w:val="009B30E3"/>
    <w:rsid w:val="009D7977"/>
    <w:rsid w:val="009E5FA6"/>
    <w:rsid w:val="009E718A"/>
    <w:rsid w:val="009F3794"/>
    <w:rsid w:val="00A00DDC"/>
    <w:rsid w:val="00A011A0"/>
    <w:rsid w:val="00A26FFF"/>
    <w:rsid w:val="00A346D3"/>
    <w:rsid w:val="00A4420F"/>
    <w:rsid w:val="00A556B2"/>
    <w:rsid w:val="00A6012A"/>
    <w:rsid w:val="00A655DB"/>
    <w:rsid w:val="00A72509"/>
    <w:rsid w:val="00A840BB"/>
    <w:rsid w:val="00AA4B9A"/>
    <w:rsid w:val="00AA728D"/>
    <w:rsid w:val="00AC1577"/>
    <w:rsid w:val="00AF4A1B"/>
    <w:rsid w:val="00B0799A"/>
    <w:rsid w:val="00B14530"/>
    <w:rsid w:val="00B15504"/>
    <w:rsid w:val="00B225F7"/>
    <w:rsid w:val="00B26132"/>
    <w:rsid w:val="00B31BB3"/>
    <w:rsid w:val="00B358F3"/>
    <w:rsid w:val="00B44B2C"/>
    <w:rsid w:val="00B45065"/>
    <w:rsid w:val="00B5601C"/>
    <w:rsid w:val="00B70923"/>
    <w:rsid w:val="00B744D4"/>
    <w:rsid w:val="00B805DF"/>
    <w:rsid w:val="00B8364D"/>
    <w:rsid w:val="00B842B6"/>
    <w:rsid w:val="00B86001"/>
    <w:rsid w:val="00B863CD"/>
    <w:rsid w:val="00B947BF"/>
    <w:rsid w:val="00B95775"/>
    <w:rsid w:val="00BC592E"/>
    <w:rsid w:val="00BE078D"/>
    <w:rsid w:val="00BE1292"/>
    <w:rsid w:val="00BE6FB2"/>
    <w:rsid w:val="00BF1A7D"/>
    <w:rsid w:val="00BF4D93"/>
    <w:rsid w:val="00BF5C59"/>
    <w:rsid w:val="00C05367"/>
    <w:rsid w:val="00C0628E"/>
    <w:rsid w:val="00C15117"/>
    <w:rsid w:val="00C24BAC"/>
    <w:rsid w:val="00C27A78"/>
    <w:rsid w:val="00C70417"/>
    <w:rsid w:val="00C768DA"/>
    <w:rsid w:val="00C94DA8"/>
    <w:rsid w:val="00C957E3"/>
    <w:rsid w:val="00CB032D"/>
    <w:rsid w:val="00CB06E5"/>
    <w:rsid w:val="00CB44C3"/>
    <w:rsid w:val="00CB506A"/>
    <w:rsid w:val="00CC4E2A"/>
    <w:rsid w:val="00CC6A0E"/>
    <w:rsid w:val="00CD57BD"/>
    <w:rsid w:val="00CD720B"/>
    <w:rsid w:val="00CF42BC"/>
    <w:rsid w:val="00D218B6"/>
    <w:rsid w:val="00D24B6B"/>
    <w:rsid w:val="00D31CD6"/>
    <w:rsid w:val="00D52D3D"/>
    <w:rsid w:val="00D66D7B"/>
    <w:rsid w:val="00D83846"/>
    <w:rsid w:val="00D9055B"/>
    <w:rsid w:val="00D9056D"/>
    <w:rsid w:val="00D9497B"/>
    <w:rsid w:val="00DB08D3"/>
    <w:rsid w:val="00DB4C11"/>
    <w:rsid w:val="00DC17DE"/>
    <w:rsid w:val="00DC1C73"/>
    <w:rsid w:val="00DE0018"/>
    <w:rsid w:val="00DF1E2D"/>
    <w:rsid w:val="00E03BCD"/>
    <w:rsid w:val="00E10B69"/>
    <w:rsid w:val="00E11437"/>
    <w:rsid w:val="00E254E3"/>
    <w:rsid w:val="00E26DE3"/>
    <w:rsid w:val="00E33EA4"/>
    <w:rsid w:val="00E34F5B"/>
    <w:rsid w:val="00E42EA0"/>
    <w:rsid w:val="00E63149"/>
    <w:rsid w:val="00E63E2E"/>
    <w:rsid w:val="00E73E7D"/>
    <w:rsid w:val="00E903F7"/>
    <w:rsid w:val="00E97701"/>
    <w:rsid w:val="00E97C7E"/>
    <w:rsid w:val="00EC187F"/>
    <w:rsid w:val="00EE1FFC"/>
    <w:rsid w:val="00EE2ECA"/>
    <w:rsid w:val="00EE525A"/>
    <w:rsid w:val="00EF1A6A"/>
    <w:rsid w:val="00EF721D"/>
    <w:rsid w:val="00F05AD3"/>
    <w:rsid w:val="00F134F8"/>
    <w:rsid w:val="00F157FB"/>
    <w:rsid w:val="00F355B4"/>
    <w:rsid w:val="00F41814"/>
    <w:rsid w:val="00F52CC9"/>
    <w:rsid w:val="00F55386"/>
    <w:rsid w:val="00F56F9F"/>
    <w:rsid w:val="00F60A6C"/>
    <w:rsid w:val="00F66A0C"/>
    <w:rsid w:val="00F74E03"/>
    <w:rsid w:val="00F81D8A"/>
    <w:rsid w:val="00F81D8E"/>
    <w:rsid w:val="00FA3E3F"/>
    <w:rsid w:val="00FD31FA"/>
    <w:rsid w:val="00FD4700"/>
    <w:rsid w:val="00FD7355"/>
    <w:rsid w:val="00FE2AAE"/>
    <w:rsid w:val="00FE4E41"/>
    <w:rsid w:val="00FF3667"/>
    <w:rsid w:val="7AF96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4024</Words>
  <Characters>4071</Characters>
  <Lines>30</Lines>
  <Paragraphs>8</Paragraphs>
  <TotalTime>0</TotalTime>
  <ScaleCrop>false</ScaleCrop>
  <LinksUpToDate>false</LinksUpToDate>
  <CharactersWithSpaces>4168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2021-06-01T11:41:00Z</dcterms:created>
  <dc:creator>user</dc:creator>
  <cp:lastModifiedBy>Administrator</cp:lastModifiedBy>
  <cp:lastPrinted>2025-03-03T08:39:00Z</cp:lastPrinted>
  <dcterms:modified xsi:type="dcterms:W3CDTF">2025-03-03T08:52:15Z</dcterms:modified>
  <dc:title>关于印发《安溪县民政局2021年“平安共建  和谐共享”平安建设集中宣传活动方案》的通知</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BF31E81ACCB543FF9E9A0EB902557530_13</vt:lpwstr>
  </property>
</Properties>
</file>