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szCs w:val="28"/>
        </w:rPr>
      </w:pPr>
      <w:r>
        <w:rPr>
          <w:rFonts w:hint="eastAsia"/>
        </w:rPr>
        <w:t xml:space="preserve"> </w:t>
      </w:r>
    </w:p>
    <w:p>
      <w:pPr>
        <w:ind w:firstLine="0" w:firstLineChars="0"/>
        <w:rPr>
          <w:sz w:val="28"/>
          <w:szCs w:val="28"/>
        </w:rPr>
      </w:pPr>
    </w:p>
    <w:p>
      <w:pPr>
        <w:ind w:firstLine="0" w:firstLineChars="0"/>
        <w:rPr>
          <w:sz w:val="28"/>
          <w:szCs w:val="28"/>
        </w:rPr>
      </w:pPr>
    </w:p>
    <w:p>
      <w:pPr>
        <w:ind w:firstLine="0" w:firstLineChars="0"/>
        <w:rPr>
          <w:sz w:val="28"/>
          <w:szCs w:val="28"/>
        </w:rPr>
      </w:pPr>
    </w:p>
    <w:p>
      <w:pPr>
        <w:ind w:firstLine="0" w:firstLineChars="0"/>
      </w:pPr>
    </w:p>
    <w:p>
      <w:pPr>
        <w:ind w:firstLine="0" w:firstLineChars="0"/>
      </w:pPr>
    </w:p>
    <w:p>
      <w:pPr>
        <w:ind w:firstLine="0" w:firstLineChars="0"/>
      </w:pPr>
    </w:p>
    <w:p>
      <w:pPr>
        <w:ind w:firstLine="0" w:firstLineChars="0"/>
        <w:jc w:val="center"/>
        <w:rPr>
          <w:rFonts w:hAnsi="仿宋_GB2312" w:cs="仿宋_GB2312"/>
          <w:b/>
        </w:rPr>
      </w:pPr>
      <w:r>
        <w:rPr>
          <w:rFonts w:hint="eastAsia" w:hAnsi="仿宋_GB2312" w:cs="仿宋_GB2312"/>
        </w:rPr>
        <w:t>安文体旅〔202</w:t>
      </w:r>
      <w:r>
        <w:rPr>
          <w:rFonts w:hint="eastAsia" w:hAnsi="仿宋_GB2312" w:cs="仿宋_GB2312"/>
          <w:lang w:val="en-US" w:eastAsia="zh-CN"/>
        </w:rPr>
        <w:t>4</w:t>
      </w:r>
      <w:r>
        <w:rPr>
          <w:rFonts w:hint="eastAsia" w:hAnsi="仿宋_GB2312" w:cs="仿宋_GB2312"/>
        </w:rPr>
        <w:t>〕</w:t>
      </w:r>
      <w:r>
        <w:rPr>
          <w:rFonts w:hint="eastAsia" w:hAnsi="仿宋_GB2312" w:cs="仿宋_GB2312"/>
          <w:lang w:val="en-US" w:eastAsia="zh-CN"/>
        </w:rPr>
        <w:t>4</w:t>
      </w:r>
      <w:r>
        <w:rPr>
          <w:rFonts w:hint="eastAsia" w:hAnsi="仿宋_GB2312" w:cs="仿宋_GB2312"/>
        </w:rPr>
        <w:t>号</w:t>
      </w:r>
    </w:p>
    <w:p>
      <w:pPr>
        <w:spacing w:line="560" w:lineRule="exact"/>
        <w:ind w:firstLine="0" w:firstLineChars="0"/>
        <w:jc w:val="center"/>
        <w:rPr>
          <w:rFonts w:asciiTheme="majorEastAsia" w:hAnsiTheme="majorEastAsia"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rPr>
        <w:t>关于</w:t>
      </w:r>
      <w:r>
        <w:rPr>
          <w:rFonts w:hint="default" w:ascii="方正小标宋简体" w:hAnsi="方正小标宋简体" w:eastAsia="方正小标宋简体" w:cs="方正小标宋简体"/>
          <w:sz w:val="44"/>
          <w:szCs w:val="44"/>
          <w:lang w:val="en-US" w:eastAsia="zh-CN"/>
        </w:rPr>
        <w:t>开展</w:t>
      </w:r>
      <w:r>
        <w:rPr>
          <w:rFonts w:hint="default"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default"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二</w:t>
      </w:r>
      <w:r>
        <w:rPr>
          <w:rFonts w:hint="default" w:ascii="方正小标宋简体" w:hAnsi="方正小标宋简体" w:eastAsia="方正小标宋简体" w:cs="方正小标宋简体"/>
          <w:sz w:val="44"/>
          <w:szCs w:val="44"/>
        </w:rPr>
        <w:t>季度</w:t>
      </w:r>
      <w:r>
        <w:rPr>
          <w:rFonts w:hint="default" w:ascii="方正小标宋简体" w:hAnsi="方正小标宋简体" w:eastAsia="方正小标宋简体" w:cs="方正小标宋简体"/>
          <w:sz w:val="44"/>
          <w:szCs w:val="44"/>
          <w:lang w:val="en-US" w:eastAsia="zh-CN"/>
        </w:rPr>
        <w:t>文体旅市场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rPr>
        <w:t>“双随机、一公开</w:t>
      </w:r>
      <w:r>
        <w:rPr>
          <w:rFonts w:hint="default" w:ascii="方正小标宋简体" w:hAnsi="方正小标宋简体" w:eastAsia="方正小标宋简体" w:cs="方正小标宋简体"/>
          <w:sz w:val="44"/>
          <w:szCs w:val="44"/>
        </w:rPr>
        <w:t>”</w:t>
      </w:r>
      <w:r>
        <w:rPr>
          <w:rFonts w:hint="default" w:ascii="方正小标宋简体" w:hAnsi="方正小标宋简体" w:eastAsia="方正小标宋简体" w:cs="方正小标宋简体"/>
          <w:sz w:val="44"/>
          <w:szCs w:val="44"/>
          <w:lang w:val="en-US" w:eastAsia="zh-CN"/>
        </w:rPr>
        <w:t>抽查</w:t>
      </w:r>
      <w:r>
        <w:rPr>
          <w:rFonts w:hint="default" w:ascii="方正小标宋简体" w:hAnsi="方正小标宋简体" w:eastAsia="方正小标宋简体" w:cs="方正小标宋简体"/>
          <w:sz w:val="44"/>
          <w:szCs w:val="44"/>
        </w:rPr>
        <w:t>的通</w:t>
      </w:r>
      <w:r>
        <w:rPr>
          <w:rFonts w:hint="default" w:ascii="方正小标宋简体" w:hAnsi="方正小标宋简体" w:eastAsia="方正小标宋简体" w:cs="方正小标宋简体"/>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各娱乐场所、</w:t>
      </w:r>
      <w:r>
        <w:rPr>
          <w:rFonts w:hint="eastAsia" w:ascii="仿宋_GB2312" w:hAnsi="仿宋_GB2312" w:eastAsia="仿宋_GB2312" w:cs="仿宋_GB2312"/>
          <w:sz w:val="32"/>
          <w:szCs w:val="32"/>
          <w:lang w:val="en-US" w:eastAsia="zh-CN"/>
        </w:rPr>
        <w:t>网吧、旅行社、文物保护单位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为进一步规范文</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旅市场综合执法行为，加强文</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旅市场事中事后监管力度，切实维护我县文</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旅市场经营秩序，根据工作部署，</w:t>
      </w:r>
      <w:r>
        <w:rPr>
          <w:rFonts w:hint="eastAsia" w:ascii="仿宋_GB2312" w:hAnsi="仿宋_GB2312" w:eastAsia="仿宋_GB2312" w:cs="仿宋_GB2312"/>
          <w:sz w:val="32"/>
          <w:szCs w:val="32"/>
          <w:lang w:val="en-US" w:eastAsia="zh-CN"/>
        </w:rPr>
        <w:t>结合安全生产重大隐患专项整治，</w:t>
      </w:r>
      <w:r>
        <w:rPr>
          <w:rFonts w:hint="eastAsia" w:ascii="仿宋_GB2312" w:hAnsi="仿宋_GB2312" w:eastAsia="仿宋_GB2312" w:cs="仿宋_GB2312"/>
          <w:sz w:val="32"/>
          <w:szCs w:val="32"/>
        </w:rPr>
        <w:t>现将第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季度文</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旅市场“双随机、一公开”</w:t>
      </w:r>
      <w:r>
        <w:rPr>
          <w:rFonts w:hint="eastAsia" w:ascii="仿宋_GB2312" w:hAnsi="仿宋_GB2312" w:eastAsia="仿宋_GB2312" w:cs="仿宋_GB2312"/>
          <w:sz w:val="32"/>
          <w:szCs w:val="32"/>
        </w:rPr>
        <w:t>抽查</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一、抽</w:t>
      </w:r>
      <w:r>
        <w:rPr>
          <w:rFonts w:hint="eastAsia" w:ascii="黑体" w:hAnsi="黑体" w:eastAsia="黑体" w:cs="黑体"/>
          <w:sz w:val="32"/>
          <w:szCs w:val="32"/>
        </w:rPr>
        <w:t>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即日起</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通过“全国文化市场监管与服务平台”平台，随机抽取执法检查人员，随机抽取辖区的娱乐场所、网吧、旅行社、文物保护单位等</w:t>
      </w:r>
      <w:r>
        <w:rPr>
          <w:rFonts w:hint="eastAsia" w:ascii="仿宋_GB2312" w:hAnsi="仿宋_GB2312" w:eastAsia="仿宋_GB2312" w:cs="仿宋_GB2312"/>
          <w:sz w:val="32"/>
          <w:szCs w:val="32"/>
        </w:rPr>
        <w:t>文</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旅市场</w:t>
      </w:r>
      <w:r>
        <w:rPr>
          <w:rFonts w:hint="eastAsia" w:ascii="仿宋_GB2312" w:hAnsi="仿宋_GB2312" w:eastAsia="仿宋_GB2312" w:cs="仿宋_GB2312"/>
          <w:sz w:val="32"/>
          <w:szCs w:val="32"/>
          <w:lang w:val="en-US" w:eastAsia="zh-CN"/>
        </w:rPr>
        <w:t>经营单位开展检查行动；对投诉举报多、被主管部门列入文体旅市场主体异常对象名录库或有严重违法记录以及存在重大安全事故隐患的文体旅经营单位，进行重点抽查。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歌舞娱乐场所</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歌舞娱乐场所播放、表演的节目是否含有禁止内容；使用的歌曲点播系统是否连接至境外曲库；歌舞娱乐场所是否接纳未成年人；是否擅自变更场所使用的歌曲点播系统；法律法规规章规定的其他事项。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（2）互联网上网服务营业场所：</w:t>
      </w:r>
      <w:r>
        <w:rPr>
          <w:rFonts w:hint="eastAsia" w:ascii="仿宋_GB2312" w:hAnsi="仿宋_GB2312" w:eastAsia="仿宋_GB2312" w:cs="仿宋_GB2312"/>
          <w:sz w:val="32"/>
          <w:szCs w:val="32"/>
          <w:lang w:val="en-US" w:eastAsia="zh-CN"/>
        </w:rPr>
        <w:t>是否接纳未成年人进入营业场所；擅自停止实施经营管理技术措施；未悬挂《网络文化经营许可证》或者未成年人禁入标志；未按规定核对、登记上网消费者的有效身份证件或者记录有关上网信息；变更名称、住所、法定代表人或者主要负责人、网络地址或者终止经营活动，未向文化行政部门办理有关手续或者备案；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文物保护单位：</w:t>
      </w:r>
      <w:r>
        <w:rPr>
          <w:rFonts w:hint="eastAsia" w:ascii="仿宋_GB2312" w:hAnsi="仿宋_GB2312" w:eastAsia="仿宋_GB2312" w:cs="仿宋_GB2312"/>
          <w:sz w:val="32"/>
          <w:szCs w:val="32"/>
          <w:lang w:val="en-US" w:eastAsia="zh-CN"/>
        </w:rPr>
        <w:t>文物保护单位安全责任制的建立和落实情况，事故应急预案的制定和演练情况，文物安全措施落实情况；文物保护单位安全生产隐患排查治理情况；对文物保护单位文物消防安全检查；文物保护单位及其</w:t>
      </w:r>
      <w:r>
        <w:rPr>
          <w:rFonts w:hint="eastAsia" w:ascii="仿宋_GB2312" w:hAnsi="仿宋_GB2312" w:eastAsia="仿宋_GB2312" w:cs="仿宋_GB2312"/>
          <w:sz w:val="32"/>
          <w:szCs w:val="32"/>
          <w:lang w:val="en-US" w:eastAsia="zh-CN"/>
        </w:rPr>
        <w:t>保护范围、建设控制地带内是否发生违法建设行为；是否发生擅自迁移、拆除文物保护单位或者擅自修缮文物保护单位，明显改变文物原状的违法行为；是否发生考古发掘单位未经批准擅自在文物保护单位内进行考古发掘的违法行为；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（4）旅行社及门市部：</w:t>
      </w:r>
      <w:r>
        <w:rPr>
          <w:rFonts w:hint="eastAsia" w:ascii="仿宋_GB2312" w:hAnsi="仿宋_GB2312" w:eastAsia="仿宋_GB2312" w:cs="仿宋_GB2312"/>
          <w:sz w:val="32"/>
          <w:szCs w:val="32"/>
          <w:lang w:val="en-US" w:eastAsia="zh-CN"/>
        </w:rPr>
        <w:t>是否未经许可经营旅行社业务（国内、入境、出境旅游业务）；是否存在出租、出借旅行社业务经营许可证，或者以其他方式非法转让旅行社业务经营许可的行为；旅行社分社和服务网点是否存在超范围经营的行为；旅行社是否进行虚假宣传、向不合格的供应商订购产品和服务以及未按规定投保旅行社责任保险的行为；旅行社是否存在在旅游行程中擅自变更旅游行程安排，严重损害旅游者权益的行为；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（5）旅游从业者：</w:t>
      </w:r>
      <w:r>
        <w:rPr>
          <w:rFonts w:hint="eastAsia" w:ascii="仿宋_GB2312" w:hAnsi="仿宋_GB2312" w:eastAsia="仿宋_GB2312" w:cs="仿宋_GB2312"/>
          <w:sz w:val="32"/>
          <w:szCs w:val="32"/>
          <w:lang w:val="en-US" w:eastAsia="zh-CN"/>
        </w:rPr>
        <w:t>是否存在导游人员进行导游活动，欺骗、胁迫旅游者消费或与经营者串通欺骗、胁迫旅游者消费的行为；是否存在导游人员擅自变更旅游项目、接待计划、中止导游活动的行为；法律法规规章规定的其他事项。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（6）各类经营场所安全生产标准化提升专项行动巩固提高情况：</w:t>
      </w:r>
      <w:r>
        <w:rPr>
          <w:rFonts w:hint="eastAsia" w:ascii="仿宋_GB2312" w:hAnsi="仿宋_GB2312" w:eastAsia="仿宋_GB2312" w:cs="仿宋_GB2312"/>
          <w:sz w:val="32"/>
          <w:szCs w:val="32"/>
        </w:rPr>
        <w:t>安全生产措施是否健全规范；安全应急和消防设施是否完好；各类安全警示标识是否到位；疏散通道和安全出口是否畅通；安全生产责任制落实、消防和应急疏散演练情况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法律法规规章规定的其他事项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请各经营单位重视“双随机、一公开”检查工作和</w:t>
      </w:r>
      <w:r>
        <w:rPr>
          <w:rFonts w:hint="eastAsia" w:ascii="仿宋_GB2312" w:hAnsi="仿宋_GB2312" w:eastAsia="仿宋_GB2312" w:cs="仿宋_GB2312"/>
          <w:sz w:val="32"/>
          <w:szCs w:val="32"/>
          <w:lang w:val="en-US" w:eastAsia="zh-CN"/>
        </w:rPr>
        <w:t>开展安全生产重大隐患专项整治</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规范日常经营管理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文明守法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）本次抽查活动</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规定时间内完成，并</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eastAsia="zh-CN"/>
        </w:rPr>
        <w:t>及时通过</w:t>
      </w:r>
      <w:r>
        <w:rPr>
          <w:rFonts w:hint="eastAsia" w:ascii="仿宋_GB2312" w:hAnsi="仿宋_GB2312" w:eastAsia="仿宋_GB2312" w:cs="仿宋_GB2312"/>
          <w:sz w:val="32"/>
          <w:szCs w:val="32"/>
          <w:lang w:val="en-US" w:eastAsia="zh-CN"/>
        </w:rPr>
        <w:t>政府门户网站</w:t>
      </w:r>
      <w:r>
        <w:rPr>
          <w:rFonts w:hint="eastAsia" w:ascii="仿宋_GB2312" w:hAnsi="仿宋_GB2312" w:eastAsia="仿宋_GB2312" w:cs="仿宋_GB2312"/>
          <w:sz w:val="32"/>
          <w:szCs w:val="32"/>
          <w:lang w:eastAsia="zh-CN"/>
        </w:rPr>
        <w:t>向社会公布</w:t>
      </w:r>
      <w:r>
        <w:rPr>
          <w:rFonts w:hint="eastAsia" w:ascii="仿宋_GB2312" w:hAnsi="仿宋_GB2312" w:eastAsia="仿宋_GB2312" w:cs="仿宋_GB2312"/>
          <w:sz w:val="32"/>
          <w:szCs w:val="32"/>
          <w:lang w:val="en-US" w:eastAsia="zh-CN"/>
        </w:rPr>
        <w:t>相关信息</w:t>
      </w:r>
      <w:r>
        <w:rPr>
          <w:rFonts w:hint="eastAsia" w:ascii="仿宋_GB2312" w:hAnsi="仿宋_GB2312" w:eastAsia="仿宋_GB2312" w:cs="仿宋_GB2312"/>
          <w:sz w:val="32"/>
          <w:szCs w:val="32"/>
          <w:lang w:eastAsia="zh-CN"/>
        </w:rPr>
        <w:t>，主动接受社会监督；对抽查发现的违法行为，及时向社会公布行政处罚案件信息。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附件：安溪县2024年第二季度</w:t>
      </w:r>
      <w:r>
        <w:rPr>
          <w:rFonts w:hint="eastAsia" w:ascii="仿宋_GB2312" w:hAnsi="仿宋_GB2312" w:eastAsia="仿宋_GB2312" w:cs="仿宋_GB2312"/>
          <w:sz w:val="32"/>
          <w:szCs w:val="32"/>
        </w:rPr>
        <w:t>文</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旅</w:t>
      </w:r>
      <w:r>
        <w:rPr>
          <w:rFonts w:hint="eastAsia" w:ascii="仿宋_GB2312" w:hAnsi="仿宋_GB2312" w:eastAsia="仿宋_GB2312" w:cs="仿宋_GB2312"/>
          <w:sz w:val="32"/>
          <w:szCs w:val="32"/>
          <w:lang w:eastAsia="zh-CN"/>
        </w:rPr>
        <w:t>市场“双随机、一公开”</w:t>
      </w:r>
      <w:r>
        <w:rPr>
          <w:rFonts w:hint="eastAsia" w:ascii="仿宋_GB2312" w:hAnsi="仿宋_GB2312" w:eastAsia="仿宋_GB2312" w:cs="仿宋_GB2312"/>
          <w:sz w:val="32"/>
          <w:szCs w:val="32"/>
          <w:lang w:val="en-US" w:eastAsia="zh-CN"/>
        </w:rPr>
        <w:t>抽查企业及执法人员名单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安溪县文化体育和旅游局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9</w:t>
      </w:r>
      <w:r>
        <w:rPr>
          <w:rFonts w:hint="eastAsia" w:ascii="仿宋_GB2312" w:hAnsi="仿宋_GB2312" w:eastAsia="仿宋_GB2312" w:cs="仿宋_GB2312"/>
          <w:sz w:val="32"/>
          <w:szCs w:val="32"/>
        </w:rPr>
        <w:t>日</w:t>
      </w:r>
    </w:p>
    <w:p>
      <w:pPr>
        <w:rPr>
          <w:rFonts w:hint="eastAsia" w:ascii="仿宋_GB2312" w:hAnsi="仿宋_GB2312" w:eastAsia="仿宋_GB2312" w:cs="仿宋_GB2312"/>
          <w:kern w:val="2"/>
          <w:sz w:val="32"/>
          <w:szCs w:val="32"/>
          <w:lang w:val="en-US" w:eastAsia="zh-CN" w:bidi="ar-SA"/>
        </w:rPr>
        <w:sectPr>
          <w:footerReference r:id="rId5" w:type="default"/>
          <w:pgSz w:w="11906" w:h="16838"/>
          <w:pgMar w:top="2098" w:right="1474" w:bottom="1984" w:left="1587" w:header="851" w:footer="992" w:gutter="0"/>
          <w:cols w:space="425"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17" w:line="70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17"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安溪县2024年第二季度文体旅市场“双随机、一公开”</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抽查企业及执法人员名单</w:t>
      </w:r>
    </w:p>
    <w:tbl>
      <w:tblPr>
        <w:tblStyle w:val="4"/>
        <w:tblpPr w:leftFromText="180" w:rightFromText="180" w:vertAnchor="text" w:horzAnchor="page" w:tblpX="1339" w:tblpY="591"/>
        <w:tblOverlap w:val="never"/>
        <w:tblW w:w="134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
        <w:gridCol w:w="4777"/>
        <w:gridCol w:w="3816"/>
        <w:gridCol w:w="2544"/>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left"/>
              <w:textAlignment w:val="bottom"/>
              <w:rPr>
                <w:rFonts w:hint="eastAsia" w:ascii="仿宋_GB2312" w:hAnsi="仿宋_GB2312" w:eastAsia="仿宋_GB2312" w:cs="仿宋_GB2312"/>
                <w:b w:val="0"/>
                <w:bCs w:val="0"/>
                <w:i w:val="0"/>
                <w:iCs w:val="0"/>
                <w:color w:val="000000"/>
                <w:sz w:val="32"/>
                <w:szCs w:val="32"/>
                <w:u w:val="none"/>
              </w:rPr>
            </w:pPr>
            <w:r>
              <w:rPr>
                <w:rFonts w:hint="eastAsia" w:ascii="仿宋_GB2312" w:hAnsi="仿宋_GB2312" w:eastAsia="仿宋_GB2312" w:cs="仿宋_GB2312"/>
                <w:b w:val="0"/>
                <w:bCs w:val="0"/>
                <w:i w:val="0"/>
                <w:iCs w:val="0"/>
                <w:snapToGrid w:val="0"/>
                <w:color w:val="000000"/>
                <w:kern w:val="0"/>
                <w:sz w:val="32"/>
                <w:szCs w:val="32"/>
                <w:u w:val="none"/>
                <w:lang w:val="en-US" w:eastAsia="zh-CN" w:bidi="ar"/>
              </w:rPr>
              <w:t>序号</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left"/>
              <w:textAlignment w:val="bottom"/>
              <w:rPr>
                <w:rFonts w:hint="eastAsia" w:ascii="仿宋_GB2312" w:hAnsi="仿宋_GB2312" w:eastAsia="仿宋_GB2312" w:cs="仿宋_GB2312"/>
                <w:b w:val="0"/>
                <w:bCs w:val="0"/>
                <w:i w:val="0"/>
                <w:iCs w:val="0"/>
                <w:color w:val="000000"/>
                <w:sz w:val="32"/>
                <w:szCs w:val="32"/>
                <w:u w:val="none"/>
              </w:rPr>
            </w:pPr>
            <w:r>
              <w:rPr>
                <w:rFonts w:hint="eastAsia" w:ascii="仿宋_GB2312" w:hAnsi="仿宋_GB2312" w:eastAsia="仿宋_GB2312" w:cs="仿宋_GB2312"/>
                <w:b w:val="0"/>
                <w:bCs w:val="0"/>
                <w:i w:val="0"/>
                <w:iCs w:val="0"/>
                <w:snapToGrid w:val="0"/>
                <w:color w:val="000000"/>
                <w:kern w:val="0"/>
                <w:sz w:val="32"/>
                <w:szCs w:val="32"/>
                <w:u w:val="none"/>
                <w:lang w:val="en-US" w:eastAsia="zh-CN" w:bidi="ar"/>
              </w:rPr>
              <w:t>被抽查主体名称</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left"/>
              <w:textAlignment w:val="bottom"/>
              <w:rPr>
                <w:rFonts w:hint="eastAsia" w:ascii="仿宋_GB2312" w:hAnsi="仿宋_GB2312" w:eastAsia="仿宋_GB2312" w:cs="仿宋_GB2312"/>
                <w:b w:val="0"/>
                <w:bCs w:val="0"/>
                <w:i w:val="0"/>
                <w:iCs w:val="0"/>
                <w:color w:val="000000"/>
                <w:sz w:val="32"/>
                <w:szCs w:val="32"/>
                <w:u w:val="none"/>
              </w:rPr>
            </w:pPr>
            <w:r>
              <w:rPr>
                <w:rFonts w:hint="eastAsia" w:ascii="仿宋_GB2312" w:hAnsi="仿宋_GB2312" w:eastAsia="仿宋_GB2312" w:cs="仿宋_GB2312"/>
                <w:b w:val="0"/>
                <w:bCs w:val="0"/>
                <w:i w:val="0"/>
                <w:iCs w:val="0"/>
                <w:snapToGrid w:val="0"/>
                <w:color w:val="000000"/>
                <w:kern w:val="0"/>
                <w:sz w:val="32"/>
                <w:szCs w:val="32"/>
                <w:u w:val="none"/>
                <w:lang w:val="en-US" w:eastAsia="zh-CN" w:bidi="ar"/>
              </w:rPr>
              <w:t>市场类型</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left"/>
              <w:textAlignment w:val="bottom"/>
              <w:rPr>
                <w:rFonts w:hint="eastAsia" w:ascii="仿宋_GB2312" w:hAnsi="仿宋_GB2312" w:eastAsia="仿宋_GB2312" w:cs="仿宋_GB2312"/>
                <w:b w:val="0"/>
                <w:bCs w:val="0"/>
                <w:i w:val="0"/>
                <w:iCs w:val="0"/>
                <w:color w:val="000000"/>
                <w:sz w:val="32"/>
                <w:szCs w:val="32"/>
                <w:u w:val="none"/>
              </w:rPr>
            </w:pPr>
            <w:r>
              <w:rPr>
                <w:rFonts w:hint="eastAsia" w:ascii="仿宋_GB2312" w:hAnsi="仿宋_GB2312" w:eastAsia="仿宋_GB2312" w:cs="仿宋_GB2312"/>
                <w:b w:val="0"/>
                <w:bCs w:val="0"/>
                <w:i w:val="0"/>
                <w:iCs w:val="0"/>
                <w:snapToGrid w:val="0"/>
                <w:color w:val="000000"/>
                <w:kern w:val="0"/>
                <w:sz w:val="32"/>
                <w:szCs w:val="32"/>
                <w:u w:val="none"/>
                <w:lang w:val="en-US" w:eastAsia="zh-CN" w:bidi="ar"/>
              </w:rPr>
              <w:t>执法人员</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left"/>
              <w:textAlignment w:val="bottom"/>
              <w:rPr>
                <w:rFonts w:hint="eastAsia" w:ascii="仿宋_GB2312" w:hAnsi="仿宋_GB2312" w:eastAsia="仿宋_GB2312" w:cs="仿宋_GB2312"/>
                <w:b w:val="0"/>
                <w:bCs w:val="0"/>
                <w:i w:val="0"/>
                <w:iCs w:val="0"/>
                <w:color w:val="000000"/>
                <w:sz w:val="32"/>
                <w:szCs w:val="32"/>
                <w:u w:val="none"/>
              </w:rPr>
            </w:pPr>
            <w:r>
              <w:rPr>
                <w:rFonts w:hint="eastAsia" w:ascii="仿宋_GB2312" w:hAnsi="仿宋_GB2312" w:eastAsia="仿宋_GB2312" w:cs="仿宋_GB2312"/>
                <w:b w:val="0"/>
                <w:bCs w:val="0"/>
                <w:i w:val="0"/>
                <w:iCs w:val="0"/>
                <w:snapToGrid w:val="0"/>
                <w:color w:val="000000"/>
                <w:kern w:val="0"/>
                <w:sz w:val="32"/>
                <w:szCs w:val="32"/>
                <w:u w:val="none"/>
                <w:lang w:val="en-US" w:eastAsia="zh-CN" w:bidi="ar"/>
              </w:rPr>
              <w:t>检查方式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安溪县港龙商务宾馆</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陈慧端</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2</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安溪县凤城福佳忆乡饭店</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陈慧端</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3</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安溪县悦洲酒店有限责任公司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陈慧端</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4</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安溪未来娱乐有限公司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陈慧端</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5</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安溪五洲佳豪豪乐汇娱乐有限公司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陈慧端</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6</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安溪县新歌星娱乐城</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7</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安溪县城关吧啦啦酒吧</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8</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安溪县凤城天桥音乐俱乐部</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9</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安溪万丽汇娱乐会所</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10</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安溪天和酒店有限公司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歌舞娱乐场所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11</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安溪县凤城镇兴科网吧</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互联网上网服务营业场所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陈慧端</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廖菁华</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12</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安溪县新概念网吧</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互联网上网服务营业场所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陈慧端</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廖菁华</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13</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安溪龙桂坊网吧</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互联网上网服务营业场所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王志灿</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14</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安溪县爱尚网吧</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互联网上网服务营业场所</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王志灿</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15</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三村圆润山窑</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文物保护单位</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王志灿</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16</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李氏家庙</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文物保护单位</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王志灿</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17</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石门玉湖殿</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文物保护单位</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苏文娟</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王志灿</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18</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福建省行达研知学旅行社有限公司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旅行社</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19</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安溪海丝国际旅行社有限公司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旅行社</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right="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20</w:t>
            </w:r>
          </w:p>
        </w:tc>
        <w:tc>
          <w:tcPr>
            <w:tcW w:w="4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安溪县中国旅行社有限公司</w:t>
            </w:r>
          </w:p>
        </w:tc>
        <w:tc>
          <w:tcPr>
            <w:tcW w:w="3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旅行社</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廖菁华</w:t>
            </w:r>
            <w:r>
              <w:rPr>
                <w:rFonts w:hint="eastAsia" w:hAnsi="仿宋_GB2312" w:cs="仿宋_GB2312"/>
                <w:i w:val="0"/>
                <w:iCs w:val="0"/>
                <w:snapToGrid w:val="0"/>
                <w:color w:val="000000"/>
                <w:kern w:val="0"/>
                <w:sz w:val="28"/>
                <w:szCs w:val="28"/>
                <w:u w:val="none"/>
                <w:lang w:val="en-US" w:eastAsia="zh-CN" w:bidi="ar"/>
              </w:rPr>
              <w:t>，</w:t>
            </w:r>
            <w:r>
              <w:rPr>
                <w:rFonts w:hint="eastAsia" w:ascii="仿宋_GB2312" w:hAnsi="仿宋_GB2312" w:eastAsia="仿宋_GB2312" w:cs="仿宋_GB2312"/>
                <w:i w:val="0"/>
                <w:iCs w:val="0"/>
                <w:snapToGrid w:val="0"/>
                <w:color w:val="000000"/>
                <w:kern w:val="0"/>
                <w:sz w:val="28"/>
                <w:szCs w:val="28"/>
                <w:u w:val="none"/>
                <w:lang w:val="en-US" w:eastAsia="zh-CN" w:bidi="ar"/>
              </w:rPr>
              <w:t>廖青莲</w:t>
            </w:r>
          </w:p>
        </w:tc>
        <w:tc>
          <w:tcPr>
            <w:tcW w:w="1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700" w:lineRule="exact"/>
              <w:ind w:left="0" w:leftChars="0" w:right="0" w:rightChars="0" w:firstLine="0" w:firstLineChars="0"/>
              <w:jc w:val="both"/>
              <w:textAlignment w:val="bottom"/>
              <w:rPr>
                <w:rFonts w:hint="eastAsia" w:ascii="仿宋_GB2312" w:hAnsi="仿宋_GB2312" w:eastAsia="仿宋_GB2312" w:cs="仿宋_GB2312"/>
                <w:i w:val="0"/>
                <w:iCs w:val="0"/>
                <w:snapToGrid w:val="0"/>
                <w:color w:val="000000"/>
                <w:kern w:val="0"/>
                <w:sz w:val="28"/>
                <w:szCs w:val="28"/>
                <w:u w:val="none"/>
                <w:lang w:val="en-US" w:eastAsia="zh-CN" w:bidi="ar"/>
              </w:rPr>
            </w:pPr>
            <w:r>
              <w:rPr>
                <w:rFonts w:hint="eastAsia" w:ascii="仿宋_GB2312" w:hAnsi="仿宋_GB2312" w:eastAsia="仿宋_GB2312" w:cs="仿宋_GB2312"/>
                <w:i w:val="0"/>
                <w:iCs w:val="0"/>
                <w:snapToGrid w:val="0"/>
                <w:color w:val="000000"/>
                <w:kern w:val="0"/>
                <w:sz w:val="28"/>
                <w:szCs w:val="28"/>
                <w:u w:val="none"/>
                <w:lang w:val="en-US" w:eastAsia="zh-CN" w:bidi="ar"/>
              </w:rPr>
              <w:t>现场检查</w:t>
            </w:r>
          </w:p>
        </w:tc>
      </w:tr>
    </w:tbl>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pBdr>
          <w:bottom w:val="none" w:color="auto" w:sz="0" w:space="0"/>
        </w:pBdr>
        <w:kinsoku/>
        <w:wordWrap/>
        <w:overflowPunct/>
        <w:topLinePunct w:val="0"/>
        <w:autoSpaceDE/>
        <w:autoSpaceDN/>
        <w:bidi w:val="0"/>
        <w:adjustRightInd/>
        <w:snapToGrid/>
        <w:spacing w:line="700" w:lineRule="exact"/>
        <w:ind w:firstLine="0" w:firstLineChars="0"/>
        <w:jc w:val="both"/>
        <w:rPr>
          <w:rFonts w:hint="eastAsia" w:ascii="仿宋" w:hAnsi="仿宋" w:eastAsia="仿宋" w:cs="仿宋"/>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7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lang w:val="en-US" w:eastAsia="zh-CN"/>
        </w:rPr>
        <w:t xml:space="preserve">安溪县文化体育和旅游局              </w:t>
      </w:r>
      <w:r>
        <w:rPr>
          <w:rFonts w:hint="eastAsia" w:hAnsi="仿宋_GB2312" w:cs="仿宋_GB2312"/>
          <w:lang w:val="en-US" w:eastAsia="zh-CN"/>
        </w:rPr>
        <w:t xml:space="preserve">                             </w:t>
      </w:r>
      <w:r>
        <w:rPr>
          <w:rFonts w:hint="eastAsia" w:ascii="仿宋_GB2312" w:hAnsi="仿宋_GB2312" w:eastAsia="仿宋_GB2312" w:cs="仿宋_GB2312"/>
          <w:lang w:val="en-US" w:eastAsia="zh-CN"/>
        </w:rPr>
        <w:t>202</w:t>
      </w:r>
      <w:r>
        <w:rPr>
          <w:rFonts w:hint="eastAsia" w:hAnsi="仿宋_GB2312" w:cs="仿宋_GB2312"/>
          <w:lang w:val="en-US" w:eastAsia="zh-CN"/>
        </w:rPr>
        <w:t>4</w:t>
      </w:r>
      <w:r>
        <w:rPr>
          <w:rFonts w:hint="eastAsia" w:ascii="仿宋_GB2312" w:hAnsi="仿宋_GB2312" w:eastAsia="仿宋_GB2312" w:cs="仿宋_GB2312"/>
          <w:lang w:val="en-US" w:eastAsia="zh-CN"/>
        </w:rPr>
        <w:t>年</w:t>
      </w:r>
      <w:r>
        <w:rPr>
          <w:rFonts w:hint="eastAsia" w:hAnsi="仿宋_GB2312" w:cs="仿宋_GB2312"/>
          <w:lang w:val="en-US" w:eastAsia="zh-CN"/>
        </w:rPr>
        <w:t>4</w:t>
      </w:r>
      <w:r>
        <w:rPr>
          <w:rFonts w:hint="eastAsia" w:ascii="仿宋_GB2312" w:hAnsi="仿宋_GB2312" w:eastAsia="仿宋_GB2312" w:cs="仿宋_GB2312"/>
          <w:lang w:val="en-US" w:eastAsia="zh-CN"/>
        </w:rPr>
        <w:t>月</w:t>
      </w:r>
      <w:r>
        <w:rPr>
          <w:rFonts w:hint="eastAsia" w:hAnsi="仿宋_GB2312" w:cs="仿宋_GB2312"/>
          <w:lang w:val="en-US" w:eastAsia="zh-CN"/>
        </w:rPr>
        <w:t>9</w:t>
      </w:r>
      <w:r>
        <w:rPr>
          <w:rFonts w:hint="eastAsia" w:ascii="仿宋_GB2312" w:hAnsi="仿宋_GB2312" w:eastAsia="仿宋_GB2312" w:cs="仿宋_GB2312"/>
          <w:lang w:val="en-US" w:eastAsia="zh-CN"/>
        </w:rPr>
        <w:t>日印发</w:t>
      </w:r>
      <w:r>
        <w:rPr>
          <w:rFonts w:hint="eastAsia" w:ascii="仿宋" w:hAnsi="仿宋" w:eastAsia="仿宋" w:cs="仿宋"/>
          <w:lang w:val="en-US" w:eastAsia="zh-CN"/>
        </w:rPr>
        <w:t xml:space="preserve">                                                       </w:t>
      </w:r>
    </w:p>
    <w:sectPr>
      <w:headerReference r:id="rId6" w:type="default"/>
      <w:footerReference r:id="rId7" w:type="default"/>
      <w:pgSz w:w="16838" w:h="11905" w:orient="landscape"/>
      <w:pgMar w:top="1587" w:right="1701" w:bottom="1474" w:left="1701" w:header="851" w:footer="992" w:gutter="0"/>
      <w:cols w:space="0" w:num="1"/>
      <w:rtlGutter w:val="0"/>
      <w:docGrid w:type="lines" w:linePitch="3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q/lZ4QEAALkDAAAOAAAA&#10;AAAAAAEAIAAAAB4BAABkcnMvZTJvRG9jLnhtbFBLBQYAAAAABgAGAFkBAABxBQ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hiMzU0N2EwYTY0MDk3ODlmYTc2MWYzY2JkMDkifQ=="/>
  </w:docVars>
  <w:rsids>
    <w:rsidRoot w:val="3BF14E28"/>
    <w:rsid w:val="000D0F21"/>
    <w:rsid w:val="00856433"/>
    <w:rsid w:val="00FF0669"/>
    <w:rsid w:val="045B0B5C"/>
    <w:rsid w:val="0D872901"/>
    <w:rsid w:val="0E780AF9"/>
    <w:rsid w:val="0FF52722"/>
    <w:rsid w:val="1C0B6801"/>
    <w:rsid w:val="1CB16894"/>
    <w:rsid w:val="1F562F39"/>
    <w:rsid w:val="1FB13CC6"/>
    <w:rsid w:val="2270575A"/>
    <w:rsid w:val="234E1295"/>
    <w:rsid w:val="26FD33DF"/>
    <w:rsid w:val="28C77730"/>
    <w:rsid w:val="2A4B1AE2"/>
    <w:rsid w:val="2D983259"/>
    <w:rsid w:val="31B108AE"/>
    <w:rsid w:val="35C23DF6"/>
    <w:rsid w:val="388A0698"/>
    <w:rsid w:val="39471AFA"/>
    <w:rsid w:val="3BF14E28"/>
    <w:rsid w:val="3EBB0897"/>
    <w:rsid w:val="400C01C4"/>
    <w:rsid w:val="47613FA5"/>
    <w:rsid w:val="48727F46"/>
    <w:rsid w:val="4A331C29"/>
    <w:rsid w:val="4F506B9E"/>
    <w:rsid w:val="50ED70AB"/>
    <w:rsid w:val="52526CA7"/>
    <w:rsid w:val="52A35472"/>
    <w:rsid w:val="52E92478"/>
    <w:rsid w:val="53A771E4"/>
    <w:rsid w:val="56353962"/>
    <w:rsid w:val="5B5971C6"/>
    <w:rsid w:val="601479AF"/>
    <w:rsid w:val="656063E1"/>
    <w:rsid w:val="663D405C"/>
    <w:rsid w:val="6BB3562F"/>
    <w:rsid w:val="6CAD0F6F"/>
    <w:rsid w:val="6EED0E68"/>
    <w:rsid w:val="6F1C2E0F"/>
    <w:rsid w:val="730C68EE"/>
    <w:rsid w:val="7503013A"/>
    <w:rsid w:val="76AB3C59"/>
    <w:rsid w:val="76E65814"/>
    <w:rsid w:val="7B05458F"/>
    <w:rsid w:val="7F405C73"/>
    <w:rsid w:val="7FF9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640" w:firstLineChars="200"/>
      <w:jc w:val="both"/>
    </w:pPr>
    <w:rPr>
      <w:rFonts w:ascii="仿宋_GB2312" w:hAnsi="Times New Roman" w:eastAsia="仿宋_GB2312" w:cstheme="minorBidi"/>
      <w:kern w:val="2"/>
      <w:sz w:val="32"/>
      <w:szCs w:val="3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1803</Words>
  <Characters>2559</Characters>
  <Lines>2</Lines>
  <Paragraphs>1</Paragraphs>
  <TotalTime>17</TotalTime>
  <ScaleCrop>false</ScaleCrop>
  <LinksUpToDate>false</LinksUpToDate>
  <CharactersWithSpaces>2724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2016-11-22T03:42:00Z</dcterms:created>
  <dc:creator>Administrator</dc:creator>
  <cp:lastModifiedBy>326080cindy</cp:lastModifiedBy>
  <cp:lastPrinted>2024-04-09T09:04:53Z</cp:lastPrinted>
  <dcterms:modified xsi:type="dcterms:W3CDTF">2024-04-09T09:05:22Z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389089688_btnclosed</vt:lpwstr>
  </property>
  <property fmtid="{D5CDD505-2E9C-101B-9397-08002B2CF9AE}" pid="4" name="ICV">
    <vt:lpwstr>7139C13DF7434039826C17DC6B94C11F</vt:lpwstr>
  </property>
</Properties>
</file>