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napToGrid w:val="0"/>
          <w:kern w:val="0"/>
          <w:sz w:val="44"/>
          <w:szCs w:val="44"/>
        </w:rPr>
      </w:pPr>
      <w:bookmarkStart w:id="0" w:name="_GoBack"/>
      <w:bookmarkEnd w:id="0"/>
    </w:p>
    <w:p>
      <w:pPr>
        <w:spacing w:line="560" w:lineRule="exact"/>
        <w:jc w:val="center"/>
        <w:rPr>
          <w:rFonts w:ascii="方正小标宋简体" w:hAnsi="华文中宋" w:eastAsia="方正小标宋简体"/>
          <w:snapToGrid w:val="0"/>
          <w:kern w:val="0"/>
          <w:sz w:val="44"/>
          <w:szCs w:val="44"/>
        </w:rPr>
      </w:pPr>
      <w:r>
        <w:rPr>
          <w:rFonts w:hint="eastAsia" w:ascii="方正小标宋简体" w:hAnsi="华文中宋" w:eastAsia="方正小标宋简体"/>
          <w:snapToGrid w:val="0"/>
          <w:kern w:val="0"/>
          <w:sz w:val="44"/>
          <w:szCs w:val="44"/>
        </w:rPr>
        <w:t>2021年全省电梯</w:t>
      </w:r>
    </w:p>
    <w:p>
      <w:pPr>
        <w:spacing w:line="560" w:lineRule="exact"/>
        <w:jc w:val="center"/>
        <w:rPr>
          <w:rFonts w:ascii="方正小标宋简体" w:hAnsi="华文中宋" w:eastAsia="方正小标宋简体"/>
          <w:snapToGrid w:val="0"/>
          <w:kern w:val="0"/>
          <w:sz w:val="44"/>
          <w:szCs w:val="44"/>
        </w:rPr>
      </w:pPr>
      <w:r>
        <w:rPr>
          <w:rFonts w:hint="eastAsia" w:ascii="方正小标宋简体" w:hAnsi="华文中宋" w:eastAsia="方正小标宋简体"/>
          <w:snapToGrid w:val="0"/>
          <w:kern w:val="0"/>
          <w:sz w:val="44"/>
          <w:szCs w:val="44"/>
        </w:rPr>
        <w:t>维护保养与运行质量监督抽查情况</w:t>
      </w:r>
    </w:p>
    <w:p>
      <w:pPr>
        <w:spacing w:line="560" w:lineRule="exact"/>
        <w:jc w:val="center"/>
        <w:rPr>
          <w:rFonts w:ascii="方正小标宋简体" w:hAnsi="华文中宋" w:eastAsia="方正小标宋简体"/>
          <w:snapToGrid w:val="0"/>
          <w:kern w:val="0"/>
          <w:sz w:val="44"/>
          <w:szCs w:val="44"/>
        </w:rPr>
      </w:pP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福建省电梯安全管理条例》，根据《福建省市场监督管理局关于组织开展2021年全省电梯维护保养与运行质量监督抽查工作的通知》（闽市监特安〔2021〕58号）部署要求，全省市场监管系统开展了2021年全省电梯维护保养与运行质量状况监督抽查工作。此次监督抽查覆盖不同品牌制造单位、不同维保单位、不同分布区域的在用电梯5977台，包括乘客电梯5551台、自动扶梯与自动人行道426台。</w:t>
      </w:r>
    </w:p>
    <w:p>
      <w:pPr>
        <w:spacing w:line="56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市场监管部门已</w:t>
      </w:r>
      <w:r>
        <w:rPr>
          <w:rFonts w:hint="eastAsia" w:ascii="方正仿宋_GBK" w:hAnsi="方正仿宋_GBK" w:eastAsia="方正仿宋_GBK" w:cs="方正仿宋_GBK"/>
          <w:color w:val="000000"/>
          <w:sz w:val="32"/>
          <w:szCs w:val="32"/>
        </w:rPr>
        <w:t>督促抽查存在不合格项的电梯使用管理单位及维保单位落实整改措施并书面反馈整改结果，并</w:t>
      </w:r>
      <w:r>
        <w:rPr>
          <w:rFonts w:hint="eastAsia" w:ascii="方正仿宋_GBK" w:hAnsi="方正仿宋_GBK" w:eastAsia="方正仿宋_GBK" w:cs="方正仿宋_GBK"/>
          <w:sz w:val="32"/>
          <w:szCs w:val="32"/>
        </w:rPr>
        <w:t>对抽查发现问题较多的电梯维保单位进行了集中约谈，</w:t>
      </w:r>
      <w:r>
        <w:rPr>
          <w:rFonts w:hint="eastAsia" w:ascii="方正仿宋_GBK" w:hAnsi="方正仿宋_GBK" w:eastAsia="方正仿宋_GBK" w:cs="方正仿宋_GBK"/>
          <w:color w:val="000000"/>
          <w:sz w:val="32"/>
          <w:szCs w:val="32"/>
        </w:rPr>
        <w:t>强化隐患排查，落实闭环管理，切实</w:t>
      </w:r>
      <w:r>
        <w:rPr>
          <w:rFonts w:hint="eastAsia" w:ascii="方正仿宋_GBK" w:hAnsi="方正仿宋_GBK" w:eastAsia="方正仿宋_GBK" w:cs="方正仿宋_GBK"/>
          <w:sz w:val="32"/>
          <w:szCs w:val="32"/>
        </w:rPr>
        <w:t>保障人民群众乘梯安全。为落实电梯使用管理单位及维保单位主体责任，促进电梯质量安全水平提升，现将此次监督抽查发现存在严重安全隐患的21台电梯（清单见附件）向社会公布。</w:t>
      </w:r>
    </w:p>
    <w:p>
      <w:pPr>
        <w:spacing w:line="560" w:lineRule="exact"/>
        <w:rPr>
          <w:rFonts w:eastAsia="仿宋_GB2312"/>
          <w:sz w:val="32"/>
          <w:szCs w:val="32"/>
        </w:rPr>
      </w:pPr>
    </w:p>
    <w:p>
      <w:pPr>
        <w:spacing w:line="520" w:lineRule="exact"/>
        <w:rPr>
          <w:rFonts w:ascii="黑体" w:hAnsi="仿宋" w:eastAsia="黑体"/>
          <w:color w:val="000000"/>
          <w:sz w:val="32"/>
          <w:szCs w:val="32"/>
        </w:rPr>
      </w:pPr>
      <w:r>
        <w:br w:type="page"/>
      </w:r>
      <w:r>
        <w:rPr>
          <w:rFonts w:hint="eastAsia" w:ascii="黑体" w:hAnsi="仿宋" w:eastAsia="黑体"/>
          <w:color w:val="000000"/>
          <w:sz w:val="32"/>
          <w:szCs w:val="32"/>
        </w:rPr>
        <w:t>附件</w:t>
      </w:r>
    </w:p>
    <w:p>
      <w:pPr>
        <w:spacing w:line="560" w:lineRule="exact"/>
        <w:jc w:val="center"/>
        <w:rPr>
          <w:rFonts w:ascii="方正小标宋简体" w:hAnsi="华文中宋" w:eastAsia="方正小标宋简体"/>
          <w:snapToGrid w:val="0"/>
          <w:kern w:val="0"/>
          <w:sz w:val="44"/>
          <w:szCs w:val="44"/>
        </w:rPr>
      </w:pPr>
    </w:p>
    <w:p>
      <w:pPr>
        <w:spacing w:line="560" w:lineRule="exact"/>
        <w:jc w:val="center"/>
        <w:rPr>
          <w:rFonts w:ascii="方正小标宋简体" w:hAnsi="华文中宋" w:eastAsia="方正小标宋简体"/>
          <w:snapToGrid w:val="0"/>
          <w:kern w:val="0"/>
          <w:sz w:val="44"/>
          <w:szCs w:val="44"/>
        </w:rPr>
      </w:pPr>
      <w:r>
        <w:rPr>
          <w:rFonts w:hint="eastAsia" w:ascii="方正小标宋简体" w:hAnsi="华文中宋" w:eastAsia="方正小标宋简体"/>
          <w:snapToGrid w:val="0"/>
          <w:kern w:val="0"/>
          <w:sz w:val="44"/>
          <w:szCs w:val="44"/>
        </w:rPr>
        <w:t>存在严重安全隐患的电梯清单</w:t>
      </w:r>
    </w:p>
    <w:tbl>
      <w:tblPr>
        <w:tblStyle w:val="4"/>
        <w:tblW w:w="929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5"/>
        <w:gridCol w:w="1251"/>
        <w:gridCol w:w="1067"/>
        <w:gridCol w:w="2127"/>
        <w:gridCol w:w="1701"/>
        <w:gridCol w:w="1417"/>
        <w:gridCol w:w="1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2" w:hRule="atLeast"/>
          <w:tblHeader/>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序号</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监察</w:t>
            </w:r>
          </w:p>
          <w:p>
            <w:pPr>
              <w:widowControl/>
              <w:spacing w:line="280" w:lineRule="exact"/>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识别码</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所在</w:t>
            </w:r>
          </w:p>
          <w:p>
            <w:pPr>
              <w:widowControl/>
              <w:spacing w:line="280" w:lineRule="exact"/>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区域</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严重安全</w:t>
            </w:r>
          </w:p>
          <w:p>
            <w:pPr>
              <w:widowControl/>
              <w:spacing w:line="280" w:lineRule="exact"/>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隐患描述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维保单位</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sz w:val="28"/>
                <w:szCs w:val="28"/>
              </w:rPr>
            </w:pPr>
            <w:r>
              <w:rPr>
                <w:rFonts w:hint="eastAsia" w:ascii="黑体" w:hAnsi="黑体" w:eastAsia="黑体"/>
                <w:sz w:val="28"/>
                <w:szCs w:val="28"/>
              </w:rPr>
              <w:t>使用单位</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sz w:val="28"/>
                <w:szCs w:val="28"/>
              </w:rPr>
            </w:pPr>
            <w:r>
              <w:rPr>
                <w:rFonts w:hint="eastAsia" w:ascii="黑体" w:hAnsi="黑体" w:eastAsia="黑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TA44151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福州市连江县潘渡乡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电梯空载上行制动工况曳引能力检查不符合要求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海科电梯工程(福建)有限公司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福建大润房地产有限公司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1"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2</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TA43921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平潭综合实验区澳前镇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断相、错相继电器短接失效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福州恒联机电设备工程有限公司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平潭自由贸易区两岸发展有限公司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8"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3</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TA33155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平潭综合实验区潭城镇东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机房照明失效,空载上行制动力不足,紧急照明装置失效,制动器制动部件动作不灵活,安全回路熔断器用铜丝短接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福州奥杭电梯工程有限公司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福建龙居物业有限公司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4</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TA15310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平潭综合实验区潭城镇东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夹绳器电气验证开关被短接失效,限速器上行超速保护装置失效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福州嘉运通机电设备有限公司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黄顺发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9"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5</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TD46265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厦门市海沧区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断、错相保护器短接,紧急照明失效,油杯缺油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厦门市辉立兴机电设备有限公司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厦门海沧城建集团有限公司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9"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6</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TD09355</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厦门市湖里区</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限速器动作不可靠，井道照明失效。</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厦门市南杰电梯工程有限公司</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厦门电力工程集团有限公司</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92"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7</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TD22354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厦门市思明区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主接触器异响,限速器钢丝绳干燥锈蚀，限速器积尘卡阻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厦门市南杰电梯工程有限公司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厦门市厚德行物业有限公司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8</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TC20003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泉州市安溪县城厢镇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曳引轮、导向轮防跳绳装置失效,限速器动作卡阻、不灵活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福建省远盛达电梯有限公司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福建省远宏物业管理有限公司安溪分公司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9</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TC97903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泉州市安溪县官桥镇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限速器-安全钳联动失效</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泉州市捷达机电工程有限公司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林毅鹏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TC95166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泉州市丰泽区东海街道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轿厢紧急对讲接至消控中心，消控中心无人值守；限速器-安全钳联动失效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通力电梯有限公司厦门分公司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福建省泉州紫欣工贸有限公司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TC21101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泉州市丰泽区泉秀街道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限速器动作不灵活,消防开关功能失效,轿内未粘贴有效电梯使用标志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福建焱森安装工程有限公司</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泉州市丰泽区巴厘印象小区业主委员会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1"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12</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TC63893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泉州市泉港区山腰街道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轿内紧急照明装置失效,一层层门被动门电气开关短接运行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广东台日电梯有限公司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泉州市振锋物业管理有限公司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7"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13</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TC74815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泉州市石狮市灵秀镇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轿厢机械锁电气开关短接运行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维一(福建)电梯有限公司</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蔡衍铁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14</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TE44753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漳州市高新技术产业开发区</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限速器运行卡阻,轿厢内积尘，电梯使用标志、安全注意事项等缺失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上海三菱电梯有限公司厦门分公司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天利仁和物业服务有限公司漳州高新区分公司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15</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TE03298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漳州市芗城区巷口街道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张紧开关动作不可靠,底坑有杂物,轿顶布线杂乱,限速器棘爪动作不可靠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漳州富奥电梯销售有限公司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厦门世家物业管理服务有限公司漳州分公司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16</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TE36069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漳州市漳浦县赤湖乡及各村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限速器棘爪卡阻,底坑积水,轿内紧急照明、紧急报警装置失效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泉州安迅电梯有限公司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陈春宝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17</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TE39320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漳州市漳浦县绥安镇及各村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限速器-安全钳联动试验失效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康力电梯股份有限公司福建分公司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碧桂园生活服务集团股份有限公司漳浦分公司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5"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18</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TE41978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漳州市招商局投资区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限速器-安全钳联动失效,轿厢风扇失效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漳州安特电梯有限公司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福建福晟物业有限公司漳州开发区分公司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6"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19</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TG11369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三明市沙县区凤岗街道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机房照明失效,层门紧急开锁装置无效,限速器动作不可靠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三明宏博电梯工程有限公司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沙县金福物业管理有限责任公司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1"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20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TG11365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三明市沙县区凤岗街道 </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机房照明失效,底坑有杂物,制动器工作部件动作卡阻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三明宏博电梯工程有限公司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沙县金福物业管理有限责任公司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2" w:hRule="atLeast"/>
        </w:trPr>
        <w:tc>
          <w:tcPr>
            <w:tcW w:w="62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21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TH72253 </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南平市邵武市</w:t>
            </w:r>
          </w:p>
        </w:tc>
        <w:tc>
          <w:tcPr>
            <w:tcW w:w="212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制动器间隙不符合要求,应急救援装置电源损坏,盘车手轮设置不合理 </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福建省南平市闽光电梯有限公司 </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 xml:space="preserve">邵武市水利局 </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仿宋_GB2312" w:hAnsi="黑体" w:eastAsia="仿宋_GB2312"/>
                <w:sz w:val="28"/>
                <w:szCs w:val="28"/>
              </w:rPr>
            </w:pPr>
            <w:r>
              <w:rPr>
                <w:rFonts w:hint="eastAsia" w:ascii="仿宋_GB2312" w:hAnsi="黑体" w:eastAsia="仿宋_GB2312"/>
                <w:sz w:val="28"/>
                <w:szCs w:val="28"/>
              </w:rPr>
              <w:t>已整改合格</w:t>
            </w:r>
          </w:p>
        </w:tc>
      </w:tr>
    </w:tbl>
    <w:p/>
    <w:p/>
    <w:sectPr>
      <w:footerReference r:id="rId5" w:type="first"/>
      <w:footerReference r:id="rId3" w:type="default"/>
      <w:footerReference r:id="rId4" w:type="even"/>
      <w:pgSz w:w="11906" w:h="16838"/>
      <w:pgMar w:top="1985" w:right="1474" w:bottom="1644" w:left="1474" w:header="851" w:footer="1644" w:gutter="0"/>
      <w:pgNumType w:fmt="decimal" w:start="1" w:chapSep="hyphe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modern"/>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decorative"/>
    <w:pitch w:val="default"/>
    <w:sig w:usb0="00000000" w:usb1="00000000" w:usb2="00000010" w:usb3="00000000" w:csb0="00040000" w:csb1="00000000"/>
  </w:font>
  <w:font w:name="仿宋">
    <w:altName w:val="方正仿宋_GBK"/>
    <w:panose1 w:val="02010609060101010101"/>
    <w:charset w:val="86"/>
    <w:family w:val="decorative"/>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pict>
        <v:shape id="_x0000_s2049" o:spid="_x0000_s2049" o:spt="202" type="#_x0000_t202" style="position:absolute;left:0pt;margin-top:0pt;height:144pt;width:144pt;mso-position-horizontal:center;mso-position-horizontal-relative:margin;mso-wrap-style:none;z-index:0;mso-width-relative:page;mso-height-relative:page;" filled="f" stroked="f" coordsize="21600,21600">
          <v:path/>
          <v:fill on="f" focussize="0,0"/>
          <v:stroke on="f"/>
          <v:imagedata o:title=""/>
          <o:lock v:ext="edit"/>
          <v:textbox inset="0mm,0mm,0mm,0mm" style="mso-fit-shape-to-text:t;">
            <w:txbxContent>
              <w:p>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3"/>
        <w:rFonts w:ascii="宋体" w:hAns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- 4 -</w:t>
    </w:r>
    <w:r>
      <w:rPr>
        <w:rStyle w:val="13"/>
        <w:rFonts w:ascii="宋体" w:hAnsi="宋体"/>
        <w:sz w:val="28"/>
        <w:szCs w:val="28"/>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ascii="宋体" w:hAnsi="宋体"/>
        <w:sz w:val="28"/>
        <w:szCs w:val="28"/>
      </w:rPr>
    </w:pPr>
    <w:r>
      <w:pict>
        <v:shape id="_x0000_s2050" o:spid="_x0000_s2050"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v:imagedata o:title=""/>
          <o:lock v:ext="edit"/>
          <v:textbox inset="0mm,0mm,0mm,0mm" style="mso-fit-shape-to-text:t;">
            <w:txbxContent>
              <w:p>
                <w:pPr>
                  <w:pStyle w:val="9"/>
                  <w:wordWrap w:val="0"/>
                  <w:jc w:val="right"/>
                  <w:rPr>
                    <w:rFonts w:ascii="宋体" w:hAnsi="宋体" w:eastAsia="宋体" w:cs="宋体"/>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1</w:t>
                </w:r>
                <w:r>
                  <w:rPr>
                    <w:rFonts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revisionView w:markup="0"/>
  <w:trackRevisions w:val="true"/>
  <w:documentProtection w:edit="trackedChanges"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000000"/>
    <w:rsid w:val="FFE56F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
    <w:name w:val="普通表格1"/>
    <w:unhideWhenUsed/>
    <w:qFormat/>
    <w:uiPriority w:val="99"/>
    <w:tblPr>
      <w:tblCellMar>
        <w:top w:w="0" w:type="dxa"/>
        <w:left w:w="108" w:type="dxa"/>
        <w:bottom w:w="0" w:type="dxa"/>
        <w:right w:w="108" w:type="dxa"/>
      </w:tblCellMar>
    </w:tblPr>
  </w:style>
  <w:style w:type="character" w:customStyle="1" w:styleId="6">
    <w:name w:val="默认段落字体1"/>
    <w:unhideWhenUsed/>
    <w:qFormat/>
    <w:uiPriority w:val="1"/>
  </w:style>
  <w:style w:type="paragraph" w:customStyle="1" w:styleId="7">
    <w:name w:val="批注框文本1"/>
    <w:basedOn w:val="1"/>
    <w:link w:val="8"/>
    <w:unhideWhenUsed/>
    <w:qFormat/>
    <w:uiPriority w:val="99"/>
    <w:rPr>
      <w:sz w:val="18"/>
      <w:szCs w:val="18"/>
    </w:rPr>
  </w:style>
  <w:style w:type="character" w:customStyle="1" w:styleId="8">
    <w:name w:val="批注框文本 Char"/>
    <w:basedOn w:val="6"/>
    <w:link w:val="7"/>
    <w:semiHidden/>
    <w:qFormat/>
    <w:uiPriority w:val="99"/>
    <w:rPr>
      <w:rFonts w:ascii="Times New Roman" w:hAnsi="Times New Roman" w:eastAsia="宋体" w:cs="Times New Roman"/>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rFonts w:ascii="Calibri" w:hAnsi="Calibri" w:eastAsia="宋体" w:cs="Times New Roman"/>
      <w:sz w:val="18"/>
      <w:szCs w:val="18"/>
    </w:rPr>
  </w:style>
  <w:style w:type="character" w:customStyle="1" w:styleId="10">
    <w:name w:val="页脚 Char"/>
    <w:basedOn w:val="6"/>
    <w:link w:val="9"/>
    <w:qFormat/>
    <w:uiPriority w:val="99"/>
    <w:rPr>
      <w:sz w:val="18"/>
      <w:szCs w:val="18"/>
    </w:rPr>
  </w:style>
  <w:style w:type="paragraph" w:customStyle="1" w:styleId="11">
    <w:name w:val="页眉1"/>
    <w:basedOn w:val="1"/>
    <w:link w:val="12"/>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12">
    <w:name w:val="页眉 Char"/>
    <w:basedOn w:val="6"/>
    <w:link w:val="11"/>
    <w:semiHidden/>
    <w:qFormat/>
    <w:uiPriority w:val="99"/>
    <w:rPr>
      <w:sz w:val="18"/>
      <w:szCs w:val="18"/>
    </w:rPr>
  </w:style>
  <w:style w:type="character" w:customStyle="1" w:styleId="13">
    <w:name w:val="页码1"/>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334</Words>
  <Characters>1904</Characters>
  <Lines>15</Lines>
  <Paragraphs>4</Paragraphs>
  <TotalTime>157338723</TotalTime>
  <ScaleCrop>false</ScaleCrop>
  <LinksUpToDate>false</LinksUpToDate>
  <CharactersWithSpaces>2234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2021-01-14T23:46:00Z</dcterms:created>
  <dc:creator>陈崇钰</dc:creator>
  <cp:lastModifiedBy>谢进德</cp:lastModifiedBy>
  <cp:lastPrinted>2022-03-10T00:41:00Z</cp:lastPrinted>
  <dcterms:modified xsi:type="dcterms:W3CDTF">2022-03-11T08:48:29Z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