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安政办〔201</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号</w:t>
      </w:r>
    </w:p>
    <w:p>
      <w:pPr>
        <w:jc w:val="cente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pacing w:val="-28"/>
          <w:sz w:val="44"/>
          <w:szCs w:val="44"/>
          <w:lang w:eastAsia="zh-CN"/>
        </w:rPr>
        <w:t>安溪县</w:t>
      </w:r>
      <w:r>
        <w:rPr>
          <w:rFonts w:hint="eastAsia" w:ascii="方正小标宋简体" w:hAnsi="方正小标宋简体" w:eastAsia="方正小标宋简体" w:cs="方正小标宋简体"/>
          <w:spacing w:val="-28"/>
          <w:sz w:val="44"/>
          <w:szCs w:val="44"/>
        </w:rPr>
        <w:t>人</w:t>
      </w:r>
      <w:r>
        <w:rPr>
          <w:rFonts w:hint="eastAsia" w:ascii="方正小标宋简体" w:hAnsi="方正小标宋简体" w:eastAsia="方正小标宋简体" w:cs="方正小标宋简体"/>
          <w:spacing w:val="-28"/>
          <w:sz w:val="44"/>
          <w:szCs w:val="44"/>
          <w:lang w:eastAsia="zh-CN"/>
        </w:rPr>
        <w:t>民政府办</w:t>
      </w:r>
      <w:r>
        <w:rPr>
          <w:rFonts w:hint="eastAsia" w:ascii="方正小标宋简体" w:hAnsi="方正小标宋简体" w:eastAsia="方正小标宋简体" w:cs="方正小标宋简体"/>
          <w:spacing w:val="-28"/>
          <w:sz w:val="44"/>
          <w:szCs w:val="44"/>
        </w:rPr>
        <w:t>公室关</w:t>
      </w:r>
      <w:r>
        <w:rPr>
          <w:rFonts w:hint="eastAsia" w:ascii="方正小标宋简体" w:hAnsi="方正小标宋简体" w:eastAsia="方正小标宋简体" w:cs="方正小标宋简体"/>
          <w:spacing w:val="-28"/>
          <w:sz w:val="44"/>
          <w:szCs w:val="44"/>
          <w:lang w:eastAsia="zh-CN"/>
        </w:rPr>
        <w:t>于印发《加快养老事业</w:t>
      </w:r>
      <w:r>
        <w:rPr>
          <w:rFonts w:hint="eastAsia" w:ascii="方正小标宋简体" w:hAnsi="方正小标宋简体" w:eastAsia="方正小标宋简体" w:cs="方正小标宋简体"/>
          <w:spacing w:val="-28"/>
          <w:sz w:val="44"/>
          <w:szCs w:val="44"/>
        </w:rPr>
        <w:t>发展实施意见</w:t>
      </w:r>
      <w:r>
        <w:rPr>
          <w:rFonts w:hint="eastAsia" w:ascii="方正小标宋简体" w:hAnsi="方正小标宋简体" w:eastAsia="方正小标宋简体" w:cs="方正小标宋简体"/>
          <w:spacing w:val="-28"/>
          <w:sz w:val="44"/>
          <w:szCs w:val="44"/>
          <w:lang w:eastAsia="zh-CN"/>
        </w:rPr>
        <w:t>责任分解表》</w:t>
      </w:r>
      <w:r>
        <w:rPr>
          <w:rFonts w:hint="eastAsia" w:ascii="方正小标宋简体" w:hAnsi="方正小标宋简体" w:eastAsia="方正小标宋简体" w:cs="方正小标宋简体"/>
          <w:spacing w:val="-28"/>
          <w:sz w:val="44"/>
          <w:szCs w:val="44"/>
        </w:rPr>
        <w:t>的通知</w:t>
      </w: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乡镇</w:t>
      </w:r>
      <w:r>
        <w:rPr>
          <w:rFonts w:hint="eastAsia" w:ascii="仿宋" w:hAnsi="仿宋" w:eastAsia="仿宋" w:cs="仿宋"/>
          <w:sz w:val="32"/>
          <w:szCs w:val="32"/>
        </w:rPr>
        <w:t>人民政府，</w:t>
      </w:r>
      <w:r>
        <w:rPr>
          <w:rFonts w:hint="eastAsia" w:ascii="仿宋" w:hAnsi="仿宋" w:eastAsia="仿宋" w:cs="仿宋"/>
          <w:sz w:val="32"/>
          <w:szCs w:val="32"/>
          <w:lang w:eastAsia="zh-CN"/>
        </w:rPr>
        <w:t>县</w:t>
      </w:r>
      <w:bookmarkStart w:id="0" w:name="_GoBack"/>
      <w:bookmarkEnd w:id="0"/>
      <w:r>
        <w:rPr>
          <w:rFonts w:hint="eastAsia" w:ascii="仿宋" w:hAnsi="仿宋" w:eastAsia="仿宋" w:cs="仿宋"/>
          <w:sz w:val="32"/>
          <w:szCs w:val="32"/>
        </w:rPr>
        <w:t>直有关单位</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sectPr>
          <w:headerReference r:id="rId4" w:type="first"/>
          <w:footerReference r:id="rId6" w:type="first"/>
          <w:headerReference r:id="rId3" w:type="default"/>
          <w:footerReference r:id="rId5" w:type="default"/>
          <w:pgSz w:w="11907" w:h="16840"/>
          <w:pgMar w:top="1440" w:right="1803" w:bottom="1440" w:left="1803" w:header="624" w:footer="1020" w:gutter="0"/>
          <w:pgNumType w:fmt="decimal" w:start="2"/>
          <w:cols w:space="0" w:num="1"/>
          <w:titlePg/>
          <w:rtlGutter w:val="0"/>
          <w:docGrid w:type="lines" w:linePitch="312" w:charSpace="0"/>
        </w:sectPr>
      </w:pPr>
      <w:r>
        <w:rPr>
          <w:rFonts w:hint="eastAsia" w:ascii="仿宋" w:hAnsi="仿宋" w:eastAsia="仿宋" w:cs="仿宋"/>
          <w:sz w:val="32"/>
          <w:szCs w:val="32"/>
        </w:rPr>
        <w:t>根据《中共泉州市委泉州市人民政府印发关于加快养老事业发展实施意见的通知》(泉委发</w:t>
      </w:r>
      <w:r>
        <w:rPr>
          <w:rFonts w:hint="eastAsia" w:ascii="仿宋" w:hAnsi="仿宋" w:eastAsia="仿宋" w:cs="仿宋"/>
          <w:sz w:val="32"/>
          <w:szCs w:val="32"/>
          <w:lang w:eastAsia="zh-CN"/>
        </w:rPr>
        <w:t>〔</w:t>
      </w:r>
      <w:r>
        <w:rPr>
          <w:rFonts w:hint="eastAsia" w:ascii="仿宋" w:hAnsi="仿宋" w:eastAsia="仿宋" w:cs="仿宋"/>
          <w:sz w:val="32"/>
          <w:szCs w:val="32"/>
        </w:rPr>
        <w:t>2017</w:t>
      </w:r>
      <w:r>
        <w:rPr>
          <w:rFonts w:hint="eastAsia" w:ascii="仿宋" w:hAnsi="仿宋" w:eastAsia="仿宋" w:cs="仿宋"/>
          <w:sz w:val="32"/>
          <w:szCs w:val="32"/>
          <w:lang w:eastAsia="zh-CN"/>
        </w:rPr>
        <w:t>〕</w:t>
      </w:r>
      <w:r>
        <w:rPr>
          <w:rFonts w:hint="eastAsia" w:ascii="仿宋" w:hAnsi="仿宋" w:eastAsia="仿宋" w:cs="仿宋"/>
          <w:sz w:val="32"/>
          <w:szCs w:val="32"/>
        </w:rPr>
        <w:t>16号)</w:t>
      </w:r>
      <w:r>
        <w:rPr>
          <w:rFonts w:hint="eastAsia" w:ascii="仿宋" w:hAnsi="仿宋" w:eastAsia="仿宋" w:cs="仿宋"/>
          <w:sz w:val="32"/>
          <w:szCs w:val="32"/>
          <w:lang w:eastAsia="zh-CN"/>
        </w:rPr>
        <w:t>和《中共安溪县委 安溪县人民政府印发〈关于加快养老事业发展的实施意见〉的通知》（安委发〔2017〕10号）</w:t>
      </w:r>
      <w:r>
        <w:rPr>
          <w:rFonts w:hint="eastAsia" w:ascii="仿宋" w:hAnsi="仿宋" w:eastAsia="仿宋" w:cs="仿宋"/>
          <w:sz w:val="32"/>
          <w:szCs w:val="32"/>
        </w:rPr>
        <w:t>精神，经</w:t>
      </w:r>
      <w:r>
        <w:rPr>
          <w:rFonts w:hint="eastAsia" w:ascii="仿宋" w:hAnsi="仿宋" w:eastAsia="仿宋" w:cs="仿宋"/>
          <w:sz w:val="32"/>
          <w:szCs w:val="32"/>
          <w:lang w:eastAsia="zh-CN"/>
        </w:rPr>
        <w:t>县</w:t>
      </w:r>
      <w:r>
        <w:rPr>
          <w:rFonts w:hint="eastAsia" w:ascii="仿宋" w:hAnsi="仿宋" w:eastAsia="仿宋" w:cs="仿宋"/>
          <w:sz w:val="32"/>
          <w:szCs w:val="32"/>
        </w:rPr>
        <w:t>政府同意，现将《加快养老事业发展实施意见责任分解表》印发给你们。</w:t>
      </w:r>
      <w:r>
        <w:rPr>
          <w:rFonts w:hint="eastAsia" w:ascii="仿宋" w:hAnsi="仿宋" w:eastAsia="仿宋" w:cs="仿宋"/>
          <w:sz w:val="32"/>
          <w:szCs w:val="32"/>
          <w:lang w:eastAsia="zh-CN"/>
        </w:rPr>
        <w:t>县</w:t>
      </w:r>
      <w:r>
        <w:rPr>
          <w:rFonts w:hint="eastAsia" w:ascii="仿宋" w:hAnsi="仿宋" w:eastAsia="仿宋" w:cs="仿宋"/>
          <w:sz w:val="32"/>
          <w:szCs w:val="32"/>
        </w:rPr>
        <w:t>民政局要负起牵头抓总的责任，加大指导督促力度</w:t>
      </w:r>
      <w:r>
        <w:rPr>
          <w:rFonts w:hint="eastAsia" w:ascii="仿宋" w:hAnsi="仿宋" w:eastAsia="仿宋" w:cs="仿宋"/>
          <w:sz w:val="32"/>
          <w:szCs w:val="32"/>
          <w:lang w:eastAsia="zh-CN"/>
        </w:rPr>
        <w:t>，</w:t>
      </w:r>
      <w:r>
        <w:rPr>
          <w:rFonts w:hint="eastAsia" w:ascii="仿宋" w:hAnsi="仿宋" w:eastAsia="仿宋" w:cs="仿宋"/>
          <w:sz w:val="32"/>
          <w:szCs w:val="32"/>
        </w:rPr>
        <w:t>主动靠前协调解决养老事业发展中遇到的问题和困难，定期通报工作进展情况，确保省、市</w:t>
      </w:r>
      <w:r>
        <w:rPr>
          <w:rFonts w:hint="eastAsia" w:ascii="仿宋" w:hAnsi="仿宋" w:eastAsia="仿宋" w:cs="仿宋"/>
          <w:sz w:val="32"/>
          <w:szCs w:val="32"/>
          <w:lang w:eastAsia="zh-CN"/>
        </w:rPr>
        <w:t>、县</w:t>
      </w:r>
      <w:r>
        <w:rPr>
          <w:rFonts w:hint="eastAsia" w:ascii="仿宋" w:hAnsi="仿宋" w:eastAsia="仿宋" w:cs="仿宋"/>
          <w:sz w:val="32"/>
          <w:szCs w:val="32"/>
        </w:rPr>
        <w:t>既定工作任务落到实处，全面完成各项目标任务。各责任单位主要领导要</w:t>
      </w:r>
    </w:p>
    <w:p>
      <w:pPr>
        <w:rPr>
          <w:rFonts w:hint="eastAsia" w:ascii="仿宋" w:hAnsi="仿宋" w:eastAsia="仿宋" w:cs="仿宋"/>
          <w:sz w:val="32"/>
          <w:szCs w:val="32"/>
        </w:rPr>
      </w:pPr>
      <w:r>
        <w:rPr>
          <w:rFonts w:hint="eastAsia" w:ascii="仿宋" w:hAnsi="仿宋" w:eastAsia="仿宋" w:cs="仿宋"/>
          <w:sz w:val="32"/>
          <w:szCs w:val="32"/>
        </w:rPr>
        <w:t>亲自抓，分管领导具体抓，配强力量专门抓，有力推动各项工作得到有效落实，工</w:t>
      </w:r>
      <w:r>
        <w:rPr>
          <w:rFonts w:hint="eastAsia" w:ascii="仿宋" w:hAnsi="仿宋" w:eastAsia="仿宋" w:cs="仿宋"/>
          <w:sz w:val="32"/>
          <w:szCs w:val="32"/>
          <w:lang w:eastAsia="zh-CN"/>
        </w:rPr>
        <w:t>作</w:t>
      </w:r>
      <w:r>
        <w:rPr>
          <w:rFonts w:hint="eastAsia" w:ascii="仿宋" w:hAnsi="仿宋" w:eastAsia="仿宋" w:cs="仿宋"/>
          <w:sz w:val="32"/>
          <w:szCs w:val="32"/>
        </w:rPr>
        <w:t>进展情况于每季度末月2</w:t>
      </w:r>
      <w:r>
        <w:rPr>
          <w:rFonts w:hint="eastAsia" w:ascii="仿宋" w:hAnsi="仿宋" w:eastAsia="仿宋" w:cs="仿宋"/>
          <w:sz w:val="32"/>
          <w:szCs w:val="32"/>
          <w:lang w:val="en-US" w:eastAsia="zh-CN"/>
        </w:rPr>
        <w:t>0</w:t>
      </w:r>
      <w:r>
        <w:rPr>
          <w:rFonts w:hint="eastAsia" w:ascii="仿宋" w:hAnsi="仿宋" w:eastAsia="仿宋" w:cs="仿宋"/>
          <w:sz w:val="32"/>
          <w:szCs w:val="32"/>
        </w:rPr>
        <w:t>日</w:t>
      </w:r>
      <w:r>
        <w:rPr>
          <w:rFonts w:hint="eastAsia" w:ascii="仿宋" w:hAnsi="仿宋" w:eastAsia="仿宋" w:cs="仿宋"/>
          <w:sz w:val="32"/>
          <w:szCs w:val="32"/>
          <w:lang w:eastAsia="zh-CN"/>
        </w:rPr>
        <w:t>前</w:t>
      </w:r>
      <w:r>
        <w:rPr>
          <w:rFonts w:hint="eastAsia" w:ascii="仿宋" w:hAnsi="仿宋" w:eastAsia="仿宋" w:cs="仿宋"/>
          <w:sz w:val="32"/>
          <w:szCs w:val="32"/>
        </w:rPr>
        <w:t>报</w:t>
      </w:r>
      <w:r>
        <w:rPr>
          <w:rFonts w:hint="eastAsia" w:ascii="仿宋" w:hAnsi="仿宋" w:eastAsia="仿宋" w:cs="仿宋"/>
          <w:sz w:val="32"/>
          <w:szCs w:val="32"/>
          <w:lang w:eastAsia="zh-CN"/>
        </w:rPr>
        <w:t>县</w:t>
      </w:r>
      <w:r>
        <w:rPr>
          <w:rFonts w:hint="eastAsia" w:ascii="仿宋" w:hAnsi="仿宋" w:eastAsia="仿宋" w:cs="仿宋"/>
          <w:sz w:val="32"/>
          <w:szCs w:val="32"/>
        </w:rPr>
        <w:t>民政局汇总</w:t>
      </w:r>
      <w:r>
        <w:rPr>
          <w:rFonts w:hint="eastAsia" w:ascii="仿宋" w:hAnsi="仿宋" w:eastAsia="仿宋" w:cs="仿宋"/>
          <w:sz w:val="32"/>
          <w:szCs w:val="32"/>
          <w:lang w:eastAsia="zh-CN"/>
        </w:rPr>
        <w:t>，再由县民政局上</w:t>
      </w:r>
      <w:r>
        <w:rPr>
          <w:rFonts w:hint="eastAsia" w:ascii="仿宋" w:hAnsi="仿宋" w:eastAsia="仿宋" w:cs="仿宋"/>
          <w:sz w:val="32"/>
          <w:szCs w:val="32"/>
        </w:rPr>
        <w:t>报</w:t>
      </w:r>
      <w:r>
        <w:rPr>
          <w:rFonts w:hint="eastAsia" w:ascii="仿宋" w:hAnsi="仿宋" w:eastAsia="仿宋" w:cs="仿宋"/>
          <w:sz w:val="32"/>
          <w:szCs w:val="32"/>
          <w:lang w:eastAsia="zh-CN"/>
        </w:rPr>
        <w:t>县</w:t>
      </w:r>
      <w:r>
        <w:rPr>
          <w:rFonts w:hint="eastAsia" w:ascii="仿宋" w:hAnsi="仿宋" w:eastAsia="仿宋" w:cs="仿宋"/>
          <w:sz w:val="32"/>
          <w:szCs w:val="32"/>
        </w:rPr>
        <w:t>政府</w:t>
      </w:r>
      <w:r>
        <w:rPr>
          <w:rFonts w:hint="eastAsia" w:ascii="仿宋" w:hAnsi="仿宋" w:eastAsia="仿宋" w:cs="仿宋"/>
          <w:sz w:val="32"/>
          <w:szCs w:val="32"/>
          <w:lang w:eastAsia="zh-CN"/>
        </w:rPr>
        <w:t>和</w:t>
      </w:r>
      <w:r>
        <w:rPr>
          <w:rFonts w:hint="eastAsia" w:ascii="仿宋" w:hAnsi="仿宋" w:eastAsia="仿宋" w:cs="仿宋"/>
          <w:sz w:val="32"/>
          <w:szCs w:val="32"/>
        </w:rPr>
        <w:t>市</w:t>
      </w:r>
      <w:r>
        <w:rPr>
          <w:rFonts w:hint="eastAsia" w:ascii="仿宋" w:hAnsi="仿宋" w:eastAsia="仿宋" w:cs="仿宋"/>
          <w:sz w:val="32"/>
          <w:szCs w:val="32"/>
          <w:lang w:eastAsia="zh-CN"/>
        </w:rPr>
        <w:t>民政局</w:t>
      </w:r>
      <w:r>
        <w:rPr>
          <w:rFonts w:hint="eastAsia" w:ascii="仿宋" w:hAnsi="仿宋" w:eastAsia="仿宋" w:cs="仿宋"/>
          <w:sz w:val="32"/>
          <w:szCs w:val="32"/>
        </w:rPr>
        <w:t>。各</w:t>
      </w:r>
      <w:r>
        <w:rPr>
          <w:rFonts w:hint="eastAsia" w:ascii="仿宋" w:hAnsi="仿宋" w:eastAsia="仿宋" w:cs="仿宋"/>
          <w:sz w:val="32"/>
          <w:szCs w:val="32"/>
          <w:lang w:eastAsia="zh-CN"/>
        </w:rPr>
        <w:t>配合</w:t>
      </w:r>
      <w:r>
        <w:rPr>
          <w:rFonts w:hint="eastAsia" w:ascii="仿宋" w:hAnsi="仿宋" w:eastAsia="仿宋" w:cs="仿宋"/>
          <w:sz w:val="32"/>
          <w:szCs w:val="32"/>
        </w:rPr>
        <w:t>单位</w:t>
      </w:r>
      <w:r>
        <w:rPr>
          <w:rFonts w:hint="eastAsia" w:ascii="仿宋" w:hAnsi="仿宋" w:eastAsia="仿宋" w:cs="仿宋"/>
          <w:sz w:val="32"/>
          <w:szCs w:val="32"/>
          <w:lang w:eastAsia="zh-CN"/>
        </w:rPr>
        <w:t>要</w:t>
      </w:r>
      <w:r>
        <w:rPr>
          <w:rFonts w:hint="eastAsia" w:ascii="仿宋" w:hAnsi="仿宋" w:eastAsia="仿宋" w:cs="仿宋"/>
          <w:sz w:val="32"/>
          <w:szCs w:val="32"/>
        </w:rPr>
        <w:t>主动对接，协同协作，合力促进全</w:t>
      </w:r>
      <w:r>
        <w:rPr>
          <w:rFonts w:hint="eastAsia" w:ascii="仿宋" w:hAnsi="仿宋" w:eastAsia="仿宋" w:cs="仿宋"/>
          <w:sz w:val="32"/>
          <w:szCs w:val="32"/>
          <w:lang w:eastAsia="zh-CN"/>
        </w:rPr>
        <w:t>县</w:t>
      </w:r>
      <w:r>
        <w:rPr>
          <w:rFonts w:hint="eastAsia" w:ascii="仿宋" w:hAnsi="仿宋" w:eastAsia="仿宋" w:cs="仿宋"/>
          <w:sz w:val="32"/>
          <w:szCs w:val="32"/>
        </w:rPr>
        <w:t>养老事业加快发展。</w:t>
      </w:r>
    </w:p>
    <w:p>
      <w:pPr>
        <w:ind w:firstLine="64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附件：加快养老事业发展实施意见责任分解表</w:t>
      </w:r>
    </w:p>
    <w:p>
      <w:pPr>
        <w:rPr>
          <w:rFonts w:hint="eastAsia" w:eastAsiaTheme="minorEastAsia"/>
          <w:lang w:eastAsia="zh-CN"/>
        </w:rPr>
      </w:pPr>
      <w:r>
        <w:rPr>
          <w:rFonts w:hint="eastAsia" w:ascii="仿宋" w:hAnsi="仿宋" w:eastAsia="仿宋" w:cs="仿宋"/>
          <w:sz w:val="32"/>
          <w:szCs w:val="32"/>
          <w:lang w:eastAsia="zh-CN"/>
        </w:rPr>
        <w:t>　　　</w:t>
      </w:r>
    </w:p>
    <w:p>
      <w:pPr>
        <w:rPr>
          <w:rFonts w:hint="eastAsia"/>
        </w:rPr>
      </w:pPr>
    </w:p>
    <w:p>
      <w:pPr>
        <w:jc w:val="right"/>
        <w:rPr>
          <w:rFonts w:hint="eastAsia" w:ascii="仿宋" w:hAnsi="仿宋" w:eastAsia="仿宋" w:cs="仿宋"/>
          <w:sz w:val="32"/>
          <w:szCs w:val="32"/>
        </w:rPr>
      </w:pPr>
      <w:r>
        <w:rPr>
          <w:rFonts w:hint="eastAsia" w:ascii="仿宋" w:hAnsi="仿宋" w:eastAsia="仿宋" w:cs="仿宋"/>
          <w:sz w:val="32"/>
          <w:szCs w:val="32"/>
          <w:lang w:eastAsia="zh-CN"/>
        </w:rPr>
        <w:t>安溪县</w:t>
      </w:r>
      <w:r>
        <w:rPr>
          <w:rFonts w:hint="eastAsia" w:ascii="仿宋" w:hAnsi="仿宋" w:eastAsia="仿宋" w:cs="仿宋"/>
          <w:sz w:val="32"/>
          <w:szCs w:val="32"/>
        </w:rPr>
        <w:t>人民政府办公室</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sectPr>
          <w:footerReference r:id="rId8" w:type="first"/>
          <w:footerReference r:id="rId7" w:type="default"/>
          <w:pgSz w:w="11907" w:h="16840"/>
          <w:pgMar w:top="1440" w:right="1803" w:bottom="1440" w:left="1803" w:header="624" w:footer="1020" w:gutter="0"/>
          <w:pgNumType w:fmt="decimal" w:start="2"/>
          <w:cols w:space="0" w:num="1"/>
          <w:titlePg/>
          <w:rtlGutter w:val="0"/>
          <w:docGrid w:type="lines" w:linePitch="312" w:charSpace="0"/>
        </w:sectPr>
      </w:pPr>
    </w:p>
    <w:tbl>
      <w:tblPr>
        <w:tblStyle w:val="5"/>
        <w:tblW w:w="1532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9"/>
        <w:gridCol w:w="7076"/>
        <w:gridCol w:w="2333"/>
        <w:gridCol w:w="982"/>
        <w:gridCol w:w="1943"/>
        <w:gridCol w:w="877"/>
        <w:gridCol w:w="826"/>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jc w:val="center"/>
        </w:trPr>
        <w:tc>
          <w:tcPr>
            <w:tcW w:w="12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8"/>
                <w:szCs w:val="28"/>
                <w:u w:val="none"/>
                <w:lang w:val="en-US" w:eastAsia="zh-CN" w:bidi="ar"/>
              </w:rPr>
              <w:t>附件</w:t>
            </w:r>
          </w:p>
        </w:tc>
        <w:tc>
          <w:tcPr>
            <w:tcW w:w="7076" w:type="dxa"/>
            <w:shd w:val="clear" w:color="auto" w:fill="auto"/>
            <w:vAlign w:val="center"/>
          </w:tcPr>
          <w:p>
            <w:pPr>
              <w:rPr>
                <w:rFonts w:hint="eastAsia" w:ascii="宋体" w:hAnsi="宋体" w:eastAsia="宋体" w:cs="宋体"/>
                <w:i w:val="0"/>
                <w:color w:val="000000"/>
                <w:sz w:val="22"/>
                <w:szCs w:val="22"/>
                <w:u w:val="none"/>
              </w:rPr>
            </w:pPr>
          </w:p>
        </w:tc>
        <w:tc>
          <w:tcPr>
            <w:tcW w:w="3315" w:type="dxa"/>
            <w:gridSpan w:val="2"/>
            <w:shd w:val="clear" w:color="auto" w:fill="auto"/>
            <w:vAlign w:val="center"/>
          </w:tcPr>
          <w:p>
            <w:pPr>
              <w:rPr>
                <w:rFonts w:hint="eastAsia" w:ascii="宋体" w:hAnsi="宋体" w:eastAsia="宋体" w:cs="宋体"/>
                <w:i w:val="0"/>
                <w:color w:val="000000"/>
                <w:sz w:val="22"/>
                <w:szCs w:val="22"/>
                <w:u w:val="none"/>
              </w:rPr>
            </w:pPr>
          </w:p>
        </w:tc>
        <w:tc>
          <w:tcPr>
            <w:tcW w:w="2820" w:type="dxa"/>
            <w:gridSpan w:val="2"/>
            <w:shd w:val="clear" w:color="auto" w:fill="auto"/>
            <w:vAlign w:val="center"/>
          </w:tcPr>
          <w:p>
            <w:pPr>
              <w:rPr>
                <w:rFonts w:hint="eastAsia" w:ascii="宋体" w:hAnsi="宋体" w:eastAsia="宋体" w:cs="宋体"/>
                <w:i w:val="0"/>
                <w:color w:val="000000"/>
                <w:sz w:val="22"/>
                <w:szCs w:val="22"/>
                <w:u w:val="none"/>
              </w:rPr>
            </w:pPr>
          </w:p>
        </w:tc>
        <w:tc>
          <w:tcPr>
            <w:tcW w:w="833" w:type="dxa"/>
            <w:gridSpan w:val="2"/>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15323" w:type="dxa"/>
            <w:gridSpan w:val="8"/>
            <w:shd w:val="clear" w:color="auto" w:fill="auto"/>
            <w:vAlign w:val="center"/>
          </w:tcPr>
          <w:p>
            <w:pPr>
              <w:jc w:val="center"/>
              <w:rPr>
                <w:rFonts w:hint="eastAsia" w:ascii="宋体" w:hAnsi="宋体" w:eastAsia="宋体" w:cs="宋体"/>
                <w:i w:val="0"/>
                <w:color w:val="000000"/>
                <w:sz w:val="40"/>
                <w:szCs w:val="40"/>
                <w:u w:val="none"/>
              </w:rPr>
            </w:pPr>
            <w:r>
              <w:rPr>
                <w:rFonts w:hint="eastAsia" w:ascii="宋体" w:hAnsi="宋体" w:eastAsia="宋体" w:cs="宋体"/>
                <w:b/>
                <w:bCs/>
                <w:i w:val="0"/>
                <w:color w:val="000000"/>
                <w:kern w:val="0"/>
                <w:sz w:val="40"/>
                <w:szCs w:val="40"/>
                <w:u w:val="none"/>
                <w:lang w:val="en-US" w:eastAsia="zh-CN" w:bidi="ar"/>
              </w:rPr>
              <w:t>加快养老事业发展实施意见责任分解表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279"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　　项目</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任务</w:t>
            </w:r>
          </w:p>
        </w:tc>
        <w:tc>
          <w:tcPr>
            <w:tcW w:w="7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具体内容</w:t>
            </w:r>
          </w:p>
        </w:tc>
        <w:tc>
          <w:tcPr>
            <w:tcW w:w="2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牵头单位</w:t>
            </w:r>
          </w:p>
        </w:tc>
        <w:tc>
          <w:tcPr>
            <w:tcW w:w="29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配合单位</w:t>
            </w:r>
          </w:p>
        </w:tc>
        <w:tc>
          <w:tcPr>
            <w:tcW w:w="17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完成时限（年）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1279"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left"/>
              <w:rPr>
                <w:rFonts w:hint="eastAsia" w:ascii="仿宋" w:hAnsi="仿宋" w:eastAsia="仿宋" w:cs="仿宋"/>
                <w:i w:val="0"/>
                <w:color w:val="000000"/>
                <w:sz w:val="22"/>
                <w:szCs w:val="22"/>
                <w:u w:val="none"/>
              </w:rPr>
            </w:pPr>
          </w:p>
        </w:tc>
        <w:tc>
          <w:tcPr>
            <w:tcW w:w="7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9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7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jc w:val="center"/>
        </w:trPr>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一、着力落实居家社区养老服务工程，抓好城乡养老服务设施网格化规划建设</w:t>
            </w: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①推进城乡居家社区养老服务设施网格化规划布局，按县、乡、村三个层级规划设置养老服务设施，规划设置布局合理、种类齐全、功能多样的养老设施网络。</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各乡镇党委和人民政府，县住建局</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县民政局、发改局、国土局、老龄办</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②开展标准化建设，统筹设立居家社区养老服务照料中心等社区为老服务设施和网点，为老年人提供日间照料、临时托养、康复护理以及近家集中养老服务。</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各乡镇党委和人民政府，县住建局、老龄办</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县发改局、财政局、卫计局</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2017-2020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③新建城区和住宅区要按照每百户不少于20平方米的标准配套建设养老服务设施，并与住宅同步规划、同步建设、同步验收。</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各乡镇党委和人民政府，县住建局</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县民政局、老龄办、国土局、发改局、住建局、财政局</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5"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④民政部门参与新建住宅区的规划设计审核和竣工验收，以保证养老服务设施配建到位。新建住宅区配建昀养老服务设施应当在竣工验收后由建设单位半年内移交所在地乡镇政府统一调配开展养老服务。</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各乡镇党委和人民政府，县住建局</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县民政局、老龄办</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⑤已建成住宅区现有养老服务设施未达到标准要求或未配建的，应于2020年前按每百户不少于15平方米的标准通过转换、租赁、购置、调剂等方式提供。</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各乡镇党委和人民政府，县住建局</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县民政局、老龄办、国土局、发改局、财政局</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2017-2020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⑥2020年，城市社区每万人拥有养老服务设施达到500平方米以上。</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2"/>
                <w:szCs w:val="22"/>
                <w:u w:val="none"/>
              </w:rPr>
            </w:pP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2017-2020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⑦乡镇政府要支持村民委员会充分利用农家大院、闲置校舍等社会资源，建设农村居家养老服务站、农村幸福院等养老服务设施。</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2"/>
                <w:szCs w:val="22"/>
                <w:u w:val="none"/>
              </w:rPr>
            </w:pP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⑧至2020年新建158个以上农村居家养老服务站（农村幸福院），农村养老服务设施覆盖率达到60%以上。</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各乡镇党委和人民政府，县民政局</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县财政局</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2017-2020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2"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⑨统筹规划建设适宜老年人居住、出行等的相关设施，加快推进坡道、公厕等相关设施的无障碍改造，新建公共设施和养老场所无障碍率达到100%。</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各乡镇党委和人民政府，县住建局、市政公用事业局</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县民政局</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2017-2020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Height w:val="845" w:hRule="atLeast"/>
          <w:jc w:val="center"/>
        </w:trPr>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（二）培育壮大专业化服务组织</w:t>
            </w: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①通过购买服务、公建民营、民办公助、股权合作、提供场所、补贴租金、以奖代补等多种方式，支持专业化服务组织跨乡镇规模化承接、连锁化运营居家社区养老服务设施，培育和打造有一定规模和实力的专业化服务组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县民政局、财政局、老龄办</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Height w:val="1210"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②专业化组织运营乡镇敬老院，由当地乡镇政府无偿提供养老服务场所3年。专业化服务组织运营居家养老服务站，由所在地政府无偿提供养老服务场所；运营居家养老服务照料中心，由所在地政府无偿提供养老服务场所5年。有条件的地方对专业化服务组织租赁场所或自建、购买场所开办居家养老服务照料中心的，予以场所租金补贴或建设补助。</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县民政局、财政局、老龄办</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Height w:val="470"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③县级财政每年安排50万元奖补专业组织和支持专业化组织落地的社区。</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县财政局、民政局、老龄办</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2"/>
                <w:szCs w:val="22"/>
                <w:u w:val="none"/>
              </w:rPr>
            </w:pP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Height w:val="810"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④从2017年起，民办营利性与非营利性居家养老服务照料中心提供失能老年人照料服务的，以实际入住的失能老年人数统计，按年平均给予每年每床1200元护理补贴，由省、市、县按5：1：4承担。</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县财政局、民政局、老龄办</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Height w:val="285"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⑤服务场所用电、用水、用气，按居民生活类价格执行。</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县物价局</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Height w:val="540"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⑥加强对专业化服务组织服务质量的评估和日常监管，建立健全准入和退出机制。</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县民政局、老龄办</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Height w:val="575"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⑦对入住安溪县福利养老院半年以上的安溪户籍老年人给予补贴，全自理每人每月500元、半自理每人每月750元、全护理每人每月1000元。</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县民政局</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县财政局</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Height w:val="540" w:hRule="atLeast"/>
          <w:jc w:val="center"/>
        </w:trPr>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（三）整合完善服务功能</w:t>
            </w: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①充分发挥社区综合公共服务平台作用，统筹行政资源、社会资源、市场资源等，实现服务效益最大化和服务功能多样化。</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2"/>
                <w:szCs w:val="22"/>
                <w:u w:val="none"/>
              </w:rPr>
            </w:pP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Height w:val="995"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②依托居家社区养老服务照料中心等，通过整合社区内教育、科技、文化、体育、康复、餐饮等为老服务资源，为老年人提供生活照料、医疗卫生、康复护理、文化娱乐、教育、精神慰藉、体育健身、餐饮等形式多样、内容丰富的服务项目。</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2"/>
                <w:szCs w:val="22"/>
                <w:u w:val="none"/>
              </w:rPr>
            </w:pP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Height w:val="540"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③各地应采取政府补贴、慈善捐助、社会支持等方式支持兴办助老、为老服务项目。</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县财政局</w:t>
            </w: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 w:type="dxa"/>
          <w:trHeight w:val="285" w:hRule="atLeast"/>
          <w:jc w:val="center"/>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④2020年，居家社区基本养老服务覆盖全体老年人。</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各乡镇党委和人民政府</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2"/>
                <w:szCs w:val="22"/>
                <w:u w:val="none"/>
              </w:rPr>
            </w:pPr>
          </w:p>
        </w:tc>
        <w:tc>
          <w:tcPr>
            <w:tcW w:w="1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2017-2020</w:t>
            </w:r>
          </w:p>
        </w:tc>
      </w:tr>
    </w:tbl>
    <w:p>
      <w:pPr>
        <w:jc w:val="both"/>
        <w:rPr>
          <w:rFonts w:hint="eastAsia" w:ascii="仿宋" w:hAnsi="仿宋" w:eastAsia="仿宋" w:cs="仿宋"/>
          <w:sz w:val="10"/>
          <w:szCs w:val="10"/>
          <w:lang w:eastAsia="zh-CN"/>
        </w:rPr>
      </w:pPr>
    </w:p>
    <w:sectPr>
      <w:pgSz w:w="16840" w:h="11907" w:orient="landscape"/>
      <w:pgMar w:top="1803" w:right="1440" w:bottom="1803" w:left="1440" w:header="624" w:footer="1020" w:gutter="0"/>
      <w:pgNumType w:fmt="decimal" w:start="2"/>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B1FBC"/>
    <w:rsid w:val="16444415"/>
    <w:rsid w:val="194D2CC4"/>
    <w:rsid w:val="1A8F393B"/>
    <w:rsid w:val="1BF72DF2"/>
    <w:rsid w:val="1E8206A1"/>
    <w:rsid w:val="23180374"/>
    <w:rsid w:val="2716112C"/>
    <w:rsid w:val="29893C16"/>
    <w:rsid w:val="2BF77E3E"/>
    <w:rsid w:val="35F357B3"/>
    <w:rsid w:val="380F7C26"/>
    <w:rsid w:val="3C6B4123"/>
    <w:rsid w:val="3D2F3713"/>
    <w:rsid w:val="3F3D1780"/>
    <w:rsid w:val="41611553"/>
    <w:rsid w:val="420E2874"/>
    <w:rsid w:val="42462366"/>
    <w:rsid w:val="438B7449"/>
    <w:rsid w:val="43C2074E"/>
    <w:rsid w:val="4681304B"/>
    <w:rsid w:val="469A6C70"/>
    <w:rsid w:val="4BA56778"/>
    <w:rsid w:val="511F6259"/>
    <w:rsid w:val="55E82B44"/>
    <w:rsid w:val="57F64AA8"/>
    <w:rsid w:val="59F72AA5"/>
    <w:rsid w:val="64CA21A7"/>
    <w:rsid w:val="67F31DAE"/>
    <w:rsid w:val="68AE7886"/>
    <w:rsid w:val="71D57595"/>
    <w:rsid w:val="77FA0531"/>
    <w:rsid w:val="7CD5593B"/>
    <w:rsid w:val="7D6B1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0"/>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71"/>
    <w:basedOn w:val="4"/>
    <w:qFormat/>
    <w:uiPriority w:val="0"/>
    <w:rPr>
      <w:rFonts w:ascii="宋体" w:hAnsi="宋体" w:eastAsia="宋体" w:cs="宋体"/>
      <w:color w:val="000000"/>
      <w:sz w:val="22"/>
      <w:szCs w:val="22"/>
      <w:u w:val="none"/>
    </w:rPr>
  </w:style>
  <w:style w:type="character" w:customStyle="1" w:styleId="7">
    <w:name w:val="font31"/>
    <w:basedOn w:val="4"/>
    <w:qFormat/>
    <w:uiPriority w:val="0"/>
    <w:rPr>
      <w:rFonts w:hint="eastAsia" w:ascii="仿宋" w:hAnsi="仿宋" w:eastAsia="仿宋" w:cs="仿宋"/>
      <w:color w:val="000000"/>
      <w:sz w:val="22"/>
      <w:szCs w:val="22"/>
      <w:u w:val="none"/>
    </w:rPr>
  </w:style>
  <w:style w:type="character" w:customStyle="1" w:styleId="8">
    <w:name w:val="font61"/>
    <w:basedOn w:val="4"/>
    <w:qFormat/>
    <w:uiPriority w:val="0"/>
    <w:rPr>
      <w:rFonts w:ascii="宋体" w:hAnsi="宋体" w:eastAsia="宋体" w:cs="宋体"/>
      <w:color w:val="000000"/>
      <w:sz w:val="20"/>
      <w:szCs w:val="20"/>
      <w:u w:val="none"/>
    </w:rPr>
  </w:style>
  <w:style w:type="character" w:customStyle="1" w:styleId="9">
    <w:name w:val="font21"/>
    <w:basedOn w:val="4"/>
    <w:qFormat/>
    <w:uiPriority w:val="0"/>
    <w:rPr>
      <w:rFonts w:ascii="宋体" w:hAnsi="宋体" w:eastAsia="宋体" w:cs="宋体"/>
      <w:color w:val="000000"/>
      <w:sz w:val="20"/>
      <w:szCs w:val="20"/>
      <w:u w:val="none"/>
    </w:rPr>
  </w:style>
  <w:style w:type="character" w:customStyle="1" w:styleId="10">
    <w:name w:val="font41"/>
    <w:basedOn w:val="4"/>
    <w:qFormat/>
    <w:uiPriority w:val="0"/>
    <w:rPr>
      <w:rFonts w:ascii="黑体" w:hAnsi="宋体" w:eastAsia="黑体" w:cs="黑体"/>
      <w:color w:val="FF0000"/>
      <w:sz w:val="22"/>
      <w:szCs w:val="22"/>
      <w:u w:val="none"/>
    </w:rPr>
  </w:style>
  <w:style w:type="character" w:customStyle="1" w:styleId="11">
    <w:name w:val="font01"/>
    <w:basedOn w:val="4"/>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2017-12-02T03:33:00Z</dcterms:created>
  <dc:creator>Administrator</dc:creator>
  <cp:lastModifiedBy>原点</cp:lastModifiedBy>
  <cp:lastPrinted>2018-01-08T07:39:00Z</cp:lastPrinted>
  <dcterms:modified xsi:type="dcterms:W3CDTF">2018-06-07T12:29:26Z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